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2FBAC" w14:textId="77777777" w:rsidR="00C80A74" w:rsidRPr="00F91623" w:rsidRDefault="00C80A74" w:rsidP="001A6DFC">
      <w:pPr>
        <w:pStyle w:val="Textoindependiente"/>
        <w:spacing w:before="120" w:line="280" w:lineRule="atLeast"/>
        <w:rPr>
          <w:rFonts w:asciiTheme="minorHAnsi" w:hAnsiTheme="minorHAnsi" w:cstheme="minorHAnsi"/>
        </w:rPr>
      </w:pPr>
      <w:bookmarkStart w:id="0" w:name="_GoBack"/>
      <w:bookmarkEnd w:id="0"/>
    </w:p>
    <w:p w14:paraId="2EED347A" w14:textId="054065D1" w:rsidR="00260FEE" w:rsidRDefault="00260FEE" w:rsidP="00C80A74">
      <w:pPr>
        <w:rPr>
          <w:rFonts w:asciiTheme="minorHAnsi" w:hAnsiTheme="minorHAnsi" w:cstheme="minorHAnsi"/>
          <w:sz w:val="40"/>
        </w:rPr>
      </w:pPr>
      <w:r>
        <w:rPr>
          <w:rFonts w:asciiTheme="minorHAnsi" w:hAnsiTheme="minorHAnsi" w:cstheme="minorHAnsi"/>
          <w:noProof/>
          <w:sz w:val="40"/>
          <w:lang w:val="es-ES" w:eastAsia="es-ES"/>
        </w:rPr>
        <w:drawing>
          <wp:anchor distT="0" distB="0" distL="114300" distR="114300" simplePos="0" relativeHeight="251658240" behindDoc="0" locked="0" layoutInCell="1" allowOverlap="1" wp14:anchorId="1CA87C50" wp14:editId="07F29E88">
            <wp:simplePos x="723900" y="1047750"/>
            <wp:positionH relativeFrom="margin">
              <wp:align>right</wp:align>
            </wp:positionH>
            <wp:positionV relativeFrom="margin">
              <wp:align>top</wp:align>
            </wp:positionV>
            <wp:extent cx="2381250" cy="923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923925"/>
                    </a:xfrm>
                    <a:prstGeom prst="rect">
                      <a:avLst/>
                    </a:prstGeom>
                    <a:noFill/>
                  </pic:spPr>
                </pic:pic>
              </a:graphicData>
            </a:graphic>
          </wp:anchor>
        </w:drawing>
      </w:r>
    </w:p>
    <w:p w14:paraId="1F65A9B9" w14:textId="77777777" w:rsidR="00260FEE" w:rsidRDefault="00260FEE" w:rsidP="00C80A74">
      <w:pPr>
        <w:rPr>
          <w:rFonts w:asciiTheme="minorHAnsi" w:hAnsiTheme="minorHAnsi" w:cstheme="minorHAnsi"/>
          <w:sz w:val="40"/>
        </w:rPr>
      </w:pPr>
    </w:p>
    <w:p w14:paraId="1A2CD1FD" w14:textId="77777777" w:rsidR="00260FEE" w:rsidRDefault="00260FEE" w:rsidP="00C80A74">
      <w:pPr>
        <w:rPr>
          <w:rFonts w:asciiTheme="minorHAnsi" w:hAnsiTheme="minorHAnsi" w:cstheme="minorHAnsi"/>
          <w:sz w:val="40"/>
        </w:rPr>
      </w:pPr>
    </w:p>
    <w:p w14:paraId="43BFA6C4" w14:textId="30050120" w:rsidR="00C80A74" w:rsidRDefault="00C80A74" w:rsidP="00C80A74">
      <w:pPr>
        <w:rPr>
          <w:rFonts w:asciiTheme="minorHAnsi" w:hAnsiTheme="minorHAnsi" w:cstheme="minorHAnsi"/>
          <w:sz w:val="40"/>
        </w:rPr>
      </w:pPr>
      <w:r w:rsidRPr="00F91623">
        <w:rPr>
          <w:rFonts w:asciiTheme="minorHAnsi" w:hAnsiTheme="minorHAnsi" w:cstheme="minorHAnsi"/>
          <w:sz w:val="40"/>
        </w:rPr>
        <w:t>CEMP Guidelines on Litter on the Seafloor</w:t>
      </w:r>
    </w:p>
    <w:p w14:paraId="4B08E577" w14:textId="5C10439F" w:rsidR="00260FEE" w:rsidRPr="00260FEE" w:rsidRDefault="00260FEE" w:rsidP="00C80A74">
      <w:pPr>
        <w:rPr>
          <w:rFonts w:asciiTheme="minorHAnsi" w:hAnsiTheme="minorHAnsi" w:cstheme="minorHAnsi"/>
          <w:sz w:val="28"/>
          <w:szCs w:val="28"/>
        </w:rPr>
      </w:pPr>
      <w:r w:rsidRPr="00260FEE">
        <w:rPr>
          <w:rFonts w:asciiTheme="minorHAnsi" w:hAnsiTheme="minorHAnsi" w:cstheme="minorHAnsi"/>
          <w:sz w:val="28"/>
          <w:szCs w:val="28"/>
        </w:rPr>
        <w:t>(OSPAR Agreement 2017-06)</w:t>
      </w:r>
    </w:p>
    <w:p w14:paraId="2F57F2F4" w14:textId="76FF0173" w:rsidR="00260FEE" w:rsidRPr="00260FEE" w:rsidRDefault="00260FEE" w:rsidP="00C80A74">
      <w:pPr>
        <w:rPr>
          <w:rFonts w:asciiTheme="minorHAnsi" w:hAnsiTheme="minorHAnsi" w:cstheme="minorHAnsi"/>
          <w:sz w:val="28"/>
          <w:szCs w:val="28"/>
        </w:rPr>
      </w:pPr>
      <w:r w:rsidRPr="00260FEE">
        <w:rPr>
          <w:rFonts w:asciiTheme="minorHAnsi" w:hAnsiTheme="minorHAnsi" w:cstheme="minorHAnsi"/>
          <w:sz w:val="28"/>
          <w:szCs w:val="28"/>
        </w:rPr>
        <w:t>Source: EIHA 17/9/1 Annex 12</w:t>
      </w:r>
    </w:p>
    <w:p w14:paraId="4EC7523D" w14:textId="677C6603" w:rsidR="008538CD" w:rsidRPr="00F91623" w:rsidRDefault="00C80A74" w:rsidP="00C80A74">
      <w:pPr>
        <w:rPr>
          <w:rFonts w:asciiTheme="minorHAnsi" w:hAnsiTheme="minorHAnsi" w:cstheme="minorHAnsi"/>
          <w:sz w:val="28"/>
          <w:szCs w:val="28"/>
        </w:rPr>
      </w:pPr>
      <w:r w:rsidRPr="00F91623">
        <w:rPr>
          <w:rFonts w:asciiTheme="minorHAnsi" w:hAnsiTheme="minorHAnsi" w:cstheme="minorHAnsi"/>
          <w:sz w:val="28"/>
          <w:szCs w:val="28"/>
        </w:rPr>
        <w:t>1</w:t>
      </w:r>
      <w:r w:rsidRPr="00F91623">
        <w:rPr>
          <w:rFonts w:asciiTheme="minorHAnsi" w:hAnsiTheme="minorHAnsi" w:cstheme="minorHAnsi"/>
          <w:sz w:val="28"/>
          <w:szCs w:val="28"/>
        </w:rPr>
        <w:tab/>
        <w:t>Introduction</w:t>
      </w:r>
    </w:p>
    <w:p w14:paraId="46A90541" w14:textId="5842CD6F" w:rsidR="00C80A74" w:rsidRDefault="00C80A74" w:rsidP="00C80A74">
      <w:pPr>
        <w:rPr>
          <w:rFonts w:asciiTheme="minorHAnsi" w:hAnsiTheme="minorHAnsi" w:cstheme="minorHAnsi"/>
        </w:rPr>
      </w:pPr>
      <w:r w:rsidRPr="00F91623">
        <w:rPr>
          <w:rFonts w:asciiTheme="minorHAnsi" w:hAnsiTheme="minorHAnsi" w:cstheme="minorHAnsi"/>
        </w:rPr>
        <w:t>1.</w:t>
      </w:r>
      <w:r w:rsidRPr="00F91623">
        <w:rPr>
          <w:rFonts w:asciiTheme="minorHAnsi" w:hAnsiTheme="minorHAnsi" w:cstheme="minorHAnsi"/>
        </w:rPr>
        <w:tab/>
        <w:t>Marine litter floats, sinks or gets cast on beaches. It is estimated that a large amount of the litter eventually sinks to the sea floor. Benthic or seafloor marine litter consists of similar items as those found on beaches and is dominated by plastic. Benthic marine litter data can be generated based</w:t>
      </w:r>
      <w:r w:rsidR="00816273" w:rsidRPr="00F91623">
        <w:rPr>
          <w:rFonts w:asciiTheme="minorHAnsi" w:hAnsiTheme="minorHAnsi" w:cstheme="minorHAnsi"/>
        </w:rPr>
        <w:t xml:space="preserve"> on</w:t>
      </w:r>
      <w:r w:rsidRPr="00F91623">
        <w:rPr>
          <w:rFonts w:asciiTheme="minorHAnsi" w:hAnsiTheme="minorHAnsi" w:cstheme="minorHAnsi"/>
        </w:rPr>
        <w:t xml:space="preserve"> trawling surveys. Comparable classification methods as those applied to beach litter can be used to categorise and count litter items from the seafloor. This seafloor litter data can be used to assess types and trends in the distribution of seafloor litter. The following document will firstly introduce how to monitor marine litter during fisheries surveys and secondly present how this data can be evaluated. </w:t>
      </w:r>
    </w:p>
    <w:p w14:paraId="4FAAD363" w14:textId="77777777" w:rsidR="008538CD" w:rsidRPr="00F91623" w:rsidRDefault="008538CD" w:rsidP="00C80A74">
      <w:pPr>
        <w:rPr>
          <w:rFonts w:asciiTheme="minorHAnsi" w:hAnsiTheme="minorHAnsi" w:cstheme="minorHAnsi"/>
        </w:rPr>
      </w:pPr>
    </w:p>
    <w:p w14:paraId="5D3B6DB2" w14:textId="77777777" w:rsidR="00C80A74" w:rsidRPr="00F91623" w:rsidRDefault="00C80A74" w:rsidP="00C80A74">
      <w:pPr>
        <w:rPr>
          <w:rFonts w:asciiTheme="minorHAnsi" w:hAnsiTheme="minorHAnsi" w:cstheme="minorHAnsi"/>
          <w:sz w:val="28"/>
          <w:szCs w:val="28"/>
        </w:rPr>
      </w:pPr>
      <w:r w:rsidRPr="00F91623">
        <w:rPr>
          <w:rFonts w:asciiTheme="minorHAnsi" w:hAnsiTheme="minorHAnsi" w:cstheme="minorHAnsi"/>
          <w:sz w:val="28"/>
          <w:szCs w:val="28"/>
        </w:rPr>
        <w:t>2</w:t>
      </w:r>
      <w:r w:rsidRPr="00F91623">
        <w:rPr>
          <w:rFonts w:asciiTheme="minorHAnsi" w:hAnsiTheme="minorHAnsi" w:cstheme="minorHAnsi"/>
          <w:sz w:val="28"/>
          <w:szCs w:val="28"/>
        </w:rPr>
        <w:tab/>
        <w:t>Monitoring</w:t>
      </w:r>
    </w:p>
    <w:p w14:paraId="4BEC32C2" w14:textId="77777777" w:rsidR="00C80A74" w:rsidRPr="00F91623" w:rsidRDefault="00C80A74" w:rsidP="00C80A74">
      <w:pPr>
        <w:spacing w:before="120" w:line="280" w:lineRule="atLeast"/>
        <w:rPr>
          <w:rFonts w:asciiTheme="minorHAnsi" w:hAnsiTheme="minorHAnsi" w:cstheme="minorHAnsi"/>
          <w:i/>
          <w:sz w:val="24"/>
          <w:szCs w:val="24"/>
        </w:rPr>
      </w:pPr>
      <w:r w:rsidRPr="00F91623">
        <w:rPr>
          <w:rFonts w:asciiTheme="minorHAnsi" w:hAnsiTheme="minorHAnsi" w:cstheme="minorHAnsi"/>
          <w:sz w:val="24"/>
          <w:szCs w:val="24"/>
        </w:rPr>
        <w:t>2.1</w:t>
      </w:r>
      <w:r w:rsidRPr="00F91623">
        <w:rPr>
          <w:rFonts w:asciiTheme="minorHAnsi" w:hAnsiTheme="minorHAnsi" w:cstheme="minorHAnsi"/>
          <w:sz w:val="24"/>
          <w:szCs w:val="24"/>
        </w:rPr>
        <w:tab/>
        <w:t>Purpose</w:t>
      </w:r>
    </w:p>
    <w:p w14:paraId="006AD410" w14:textId="672FF482" w:rsidR="00C80A74" w:rsidRPr="00F91623" w:rsidRDefault="00C80A74" w:rsidP="00C80A74">
      <w:pPr>
        <w:autoSpaceDE w:val="0"/>
        <w:autoSpaceDN w:val="0"/>
        <w:adjustRightInd w:val="0"/>
        <w:spacing w:before="120" w:line="280" w:lineRule="atLeast"/>
        <w:rPr>
          <w:rFonts w:asciiTheme="minorHAnsi" w:hAnsiTheme="minorHAnsi" w:cstheme="minorHAnsi"/>
        </w:rPr>
      </w:pPr>
      <w:r w:rsidRPr="00F91623">
        <w:rPr>
          <w:rFonts w:asciiTheme="minorHAnsi" w:hAnsiTheme="minorHAnsi" w:cstheme="minorHAnsi"/>
        </w:rPr>
        <w:t>2.1.1</w:t>
      </w:r>
      <w:r w:rsidRPr="00F91623">
        <w:rPr>
          <w:rFonts w:asciiTheme="minorHAnsi" w:hAnsiTheme="minorHAnsi" w:cstheme="minorHAnsi"/>
        </w:rPr>
        <w:tab/>
        <w:t xml:space="preserve">OSPAR agreed to substantially reduce marine litter in the </w:t>
      </w:r>
      <w:r w:rsidR="00F91623" w:rsidRPr="00F91623">
        <w:rPr>
          <w:rFonts w:asciiTheme="minorHAnsi" w:hAnsiTheme="minorHAnsi" w:cstheme="minorHAnsi"/>
        </w:rPr>
        <w:t>OSPAR Maritime  A</w:t>
      </w:r>
      <w:r w:rsidRPr="00F91623">
        <w:rPr>
          <w:rFonts w:asciiTheme="minorHAnsi" w:hAnsiTheme="minorHAnsi" w:cstheme="minorHAnsi"/>
        </w:rPr>
        <w:t xml:space="preserve">rea  to  levels  where  properties  and quantities of marine litter do not cause harm to the coastal and marine environment (OSPAR North-East Atlantic Environment Strategy 2010). This is in line with the Marine Strategy Framework Directive (MSFD), which requires member states to achieve ‘good environmental status’ in Europe’s seas by 2020. The directive defines good environmental status based on 11 descriptors. To achieve a ‘good’ environmental status means, to protect the marine environment, prevent its deterioration and restore it where practical </w:t>
      </w:r>
      <w:r w:rsidR="00F91623" w:rsidRPr="00F91623">
        <w:rPr>
          <w:rFonts w:asciiTheme="minorHAnsi" w:hAnsiTheme="minorHAnsi" w:cstheme="minorHAnsi"/>
        </w:rPr>
        <w:t>to</w:t>
      </w:r>
      <w:r w:rsidRPr="00F91623">
        <w:rPr>
          <w:rFonts w:asciiTheme="minorHAnsi" w:hAnsiTheme="minorHAnsi" w:cstheme="minorHAnsi"/>
        </w:rPr>
        <w:t xml:space="preserve"> use marine resources sustainably. Among the 11 descriptors incorporating 56 indicators of Good Environmental Status, descriptor 10 is identified as "Properties and quantities of marine litter do not cause harm to the coastal and marine environment". The following four criteria for monitoring progress towards achieving Descriptor 10 were identified (2010/477/EU):</w:t>
      </w:r>
      <w:r w:rsidRPr="00F91623">
        <w:rPr>
          <w:rFonts w:asciiTheme="minorHAnsi" w:hAnsiTheme="minorHAnsi" w:cstheme="minorHAnsi"/>
          <w:lang w:eastAsia="en-GB"/>
        </w:rPr>
        <w:t xml:space="preserve"> </w:t>
      </w:r>
    </w:p>
    <w:p w14:paraId="1D56253C" w14:textId="77777777" w:rsidR="00C80A74" w:rsidRPr="00F91623" w:rsidRDefault="00C80A74" w:rsidP="00C80A74">
      <w:pPr>
        <w:autoSpaceDE w:val="0"/>
        <w:autoSpaceDN w:val="0"/>
        <w:adjustRightInd w:val="0"/>
        <w:spacing w:before="120" w:line="280" w:lineRule="atLeast"/>
        <w:rPr>
          <w:rFonts w:asciiTheme="minorHAnsi" w:hAnsiTheme="minorHAnsi" w:cstheme="minorHAnsi"/>
        </w:rPr>
      </w:pPr>
      <w:r w:rsidRPr="00F91623">
        <w:rPr>
          <w:rFonts w:asciiTheme="minorHAnsi" w:hAnsiTheme="minorHAnsi" w:cstheme="minorHAnsi"/>
        </w:rPr>
        <w:t>D10C1:</w:t>
      </w:r>
    </w:p>
    <w:p w14:paraId="0CDF23DA" w14:textId="77777777" w:rsidR="00C80A74" w:rsidRPr="00F91623" w:rsidRDefault="00C80A74" w:rsidP="00C80A74">
      <w:pPr>
        <w:autoSpaceDE w:val="0"/>
        <w:autoSpaceDN w:val="0"/>
        <w:adjustRightInd w:val="0"/>
        <w:spacing w:before="120" w:line="280" w:lineRule="atLeast"/>
        <w:rPr>
          <w:rFonts w:asciiTheme="minorHAnsi" w:hAnsiTheme="minorHAnsi" w:cstheme="minorHAnsi"/>
        </w:rPr>
      </w:pPr>
      <w:r w:rsidRPr="00F91623">
        <w:rPr>
          <w:rFonts w:asciiTheme="minorHAnsi" w:hAnsiTheme="minorHAnsi" w:cstheme="minorHAnsi"/>
        </w:rPr>
        <w:t>The composition, amount and spatial distribution of litter on the coastline, in the surface layer of the water column, and on the seabed, are at levels that do not cause harm to the coastal and marine environment.</w:t>
      </w:r>
    </w:p>
    <w:p w14:paraId="676F11E3" w14:textId="77777777" w:rsidR="00C80A74" w:rsidRPr="00F91623" w:rsidRDefault="00C80A74" w:rsidP="009844FB">
      <w:pPr>
        <w:autoSpaceDE w:val="0"/>
        <w:autoSpaceDN w:val="0"/>
        <w:adjustRightInd w:val="0"/>
        <w:spacing w:before="120" w:line="280" w:lineRule="atLeast"/>
        <w:rPr>
          <w:rFonts w:asciiTheme="minorHAnsi" w:hAnsiTheme="minorHAnsi" w:cstheme="minorHAnsi"/>
        </w:rPr>
      </w:pPr>
      <w:r w:rsidRPr="00F91623">
        <w:rPr>
          <w:rFonts w:asciiTheme="minorHAnsi" w:hAnsiTheme="minorHAnsi" w:cstheme="minorHAnsi"/>
        </w:rPr>
        <w:t>D10C2:</w:t>
      </w:r>
    </w:p>
    <w:p w14:paraId="2B0E0FB0" w14:textId="77777777" w:rsidR="00C80A74" w:rsidRPr="00F91623" w:rsidRDefault="00C80A74" w:rsidP="009844FB">
      <w:pPr>
        <w:autoSpaceDE w:val="0"/>
        <w:autoSpaceDN w:val="0"/>
        <w:adjustRightInd w:val="0"/>
        <w:spacing w:before="120" w:line="280" w:lineRule="atLeast"/>
        <w:rPr>
          <w:rFonts w:asciiTheme="minorHAnsi" w:hAnsiTheme="minorHAnsi" w:cstheme="minorHAnsi"/>
        </w:rPr>
      </w:pPr>
      <w:r w:rsidRPr="00F91623">
        <w:rPr>
          <w:rFonts w:asciiTheme="minorHAnsi" w:hAnsiTheme="minorHAnsi" w:cstheme="minorHAnsi"/>
        </w:rPr>
        <w:t>The composition, amount and spatial distribution of microlitter on the coastline, in the surface layer of the water column, and in seabed sediment, are at levels that do not cause harm to the coastal and marine environment.</w:t>
      </w:r>
    </w:p>
    <w:p w14:paraId="557CA97B" w14:textId="77777777" w:rsidR="00C80A74" w:rsidRPr="00F91623" w:rsidRDefault="00C80A74" w:rsidP="009844FB">
      <w:pPr>
        <w:autoSpaceDE w:val="0"/>
        <w:autoSpaceDN w:val="0"/>
        <w:adjustRightInd w:val="0"/>
        <w:spacing w:before="120" w:line="280" w:lineRule="atLeast"/>
        <w:rPr>
          <w:rFonts w:asciiTheme="minorHAnsi" w:hAnsiTheme="minorHAnsi" w:cstheme="minorHAnsi"/>
        </w:rPr>
      </w:pPr>
      <w:r w:rsidRPr="00F91623">
        <w:rPr>
          <w:rFonts w:asciiTheme="minorHAnsi" w:hAnsiTheme="minorHAnsi" w:cstheme="minorHAnsi"/>
        </w:rPr>
        <w:t>D10C3:</w:t>
      </w:r>
    </w:p>
    <w:p w14:paraId="2A7EA5A8" w14:textId="35C41C95" w:rsidR="00C80A74" w:rsidRPr="00F91623" w:rsidRDefault="00C80A74" w:rsidP="009844FB">
      <w:pPr>
        <w:autoSpaceDE w:val="0"/>
        <w:autoSpaceDN w:val="0"/>
        <w:adjustRightInd w:val="0"/>
        <w:spacing w:before="120" w:line="280" w:lineRule="atLeast"/>
        <w:rPr>
          <w:rFonts w:asciiTheme="minorHAnsi" w:hAnsiTheme="minorHAnsi" w:cstheme="minorHAnsi"/>
        </w:rPr>
      </w:pPr>
      <w:r w:rsidRPr="00F91623">
        <w:rPr>
          <w:rFonts w:asciiTheme="minorHAnsi" w:hAnsiTheme="minorHAnsi" w:cstheme="minorHAnsi"/>
        </w:rPr>
        <w:t>The amount of litter and micro-litter ingested by marine animals is at a level that does not adversely affect the health of the species concerned.</w:t>
      </w:r>
    </w:p>
    <w:p w14:paraId="3F89558C" w14:textId="77777777" w:rsidR="00F91623" w:rsidRPr="00F91623" w:rsidRDefault="00F91623" w:rsidP="009844FB">
      <w:pPr>
        <w:autoSpaceDE w:val="0"/>
        <w:autoSpaceDN w:val="0"/>
        <w:adjustRightInd w:val="0"/>
        <w:spacing w:before="120" w:line="280" w:lineRule="atLeast"/>
        <w:rPr>
          <w:rFonts w:asciiTheme="minorHAnsi" w:hAnsiTheme="minorHAnsi" w:cstheme="minorHAnsi"/>
        </w:rPr>
      </w:pPr>
    </w:p>
    <w:p w14:paraId="57A5ECEE" w14:textId="77777777" w:rsidR="00C80A74" w:rsidRPr="00F91623" w:rsidRDefault="00C80A74" w:rsidP="009844FB">
      <w:pPr>
        <w:autoSpaceDE w:val="0"/>
        <w:autoSpaceDN w:val="0"/>
        <w:adjustRightInd w:val="0"/>
        <w:spacing w:before="120" w:line="280" w:lineRule="atLeast"/>
        <w:rPr>
          <w:rFonts w:asciiTheme="minorHAnsi" w:hAnsiTheme="minorHAnsi" w:cstheme="minorHAnsi"/>
        </w:rPr>
      </w:pPr>
      <w:r w:rsidRPr="00F91623">
        <w:rPr>
          <w:rFonts w:asciiTheme="minorHAnsi" w:hAnsiTheme="minorHAnsi" w:cstheme="minorHAnsi"/>
        </w:rPr>
        <w:t>D10C4:</w:t>
      </w:r>
    </w:p>
    <w:p w14:paraId="137F4A91" w14:textId="79660859" w:rsidR="00C80A74" w:rsidRPr="00F91623" w:rsidRDefault="00C80A74" w:rsidP="009844FB">
      <w:pPr>
        <w:autoSpaceDE w:val="0"/>
        <w:autoSpaceDN w:val="0"/>
        <w:adjustRightInd w:val="0"/>
        <w:spacing w:before="120" w:line="280" w:lineRule="atLeast"/>
        <w:rPr>
          <w:rFonts w:asciiTheme="minorHAnsi" w:hAnsiTheme="minorHAnsi" w:cstheme="minorHAnsi"/>
        </w:rPr>
      </w:pPr>
      <w:r w:rsidRPr="00F91623">
        <w:rPr>
          <w:rFonts w:asciiTheme="minorHAnsi" w:hAnsiTheme="minorHAnsi" w:cstheme="minorHAnsi"/>
        </w:rPr>
        <w:t>The number of individuals of each species which are adversely affected due to litter, such as by entanglement, other types of injury or mortality, or health effects</w:t>
      </w:r>
      <w:bookmarkStart w:id="1" w:name="4"/>
      <w:bookmarkEnd w:id="1"/>
      <w:r w:rsidR="00F91623" w:rsidRPr="00F91623">
        <w:rPr>
          <w:rFonts w:asciiTheme="minorHAnsi" w:hAnsiTheme="minorHAnsi" w:cstheme="minorHAnsi"/>
        </w:rPr>
        <w:t>.</w:t>
      </w:r>
    </w:p>
    <w:p w14:paraId="155C69EE" w14:textId="792A6322" w:rsidR="00C80A74" w:rsidRPr="00F91623" w:rsidRDefault="00C80A74" w:rsidP="00C80A74">
      <w:pPr>
        <w:autoSpaceDE w:val="0"/>
        <w:autoSpaceDN w:val="0"/>
        <w:adjustRightInd w:val="0"/>
        <w:spacing w:before="120" w:line="280" w:lineRule="atLeast"/>
        <w:rPr>
          <w:rFonts w:asciiTheme="minorHAnsi" w:hAnsiTheme="minorHAnsi" w:cstheme="minorHAnsi"/>
        </w:rPr>
      </w:pPr>
      <w:r w:rsidRPr="00F91623">
        <w:rPr>
          <w:rFonts w:asciiTheme="minorHAnsi" w:hAnsiTheme="minorHAnsi" w:cstheme="minorHAnsi"/>
        </w:rPr>
        <w:t>2.1.2.</w:t>
      </w:r>
      <w:r w:rsidRPr="00F91623">
        <w:rPr>
          <w:rFonts w:asciiTheme="minorHAnsi" w:hAnsiTheme="minorHAnsi" w:cstheme="minorHAnsi"/>
        </w:rPr>
        <w:tab/>
        <w:t xml:space="preserve">This OSPAR guideline is of relevance to MSFD D10 Criteria 1. Current knowledge related to the distribution of marine litter on the seafloor, its degradation and fate, its potentially harmful biological, physical and chemical impacts on marine life and habitats and the effectiveness of future measures is insufficient. </w:t>
      </w:r>
      <w:r w:rsidR="00F91623" w:rsidRPr="00F91623">
        <w:rPr>
          <w:rFonts w:asciiTheme="minorHAnsi" w:hAnsiTheme="minorHAnsi" w:cstheme="minorHAnsi"/>
        </w:rPr>
        <w:t>To</w:t>
      </w:r>
      <w:r w:rsidRPr="00F91623">
        <w:rPr>
          <w:rFonts w:asciiTheme="minorHAnsi" w:hAnsiTheme="minorHAnsi" w:cstheme="minorHAnsi"/>
        </w:rPr>
        <w:t xml:space="preserve"> understand this part of the marine litter issue better information is required on both spatial and temporal differences in marine litter on the seafloor. </w:t>
      </w:r>
    </w:p>
    <w:p w14:paraId="15588D5B" w14:textId="77777777" w:rsidR="00C80A74" w:rsidRPr="00F91623" w:rsidRDefault="00C80A74" w:rsidP="00C80A74">
      <w:pPr>
        <w:autoSpaceDE w:val="0"/>
        <w:autoSpaceDN w:val="0"/>
        <w:adjustRightInd w:val="0"/>
        <w:spacing w:before="120" w:line="280" w:lineRule="atLeast"/>
        <w:rPr>
          <w:rFonts w:asciiTheme="minorHAnsi" w:hAnsiTheme="minorHAnsi" w:cstheme="minorHAnsi"/>
        </w:rPr>
      </w:pPr>
      <w:r w:rsidRPr="00F91623">
        <w:rPr>
          <w:rFonts w:asciiTheme="minorHAnsi" w:hAnsiTheme="minorHAnsi" w:cstheme="minorHAnsi"/>
        </w:rPr>
        <w:t>2.1.3.</w:t>
      </w:r>
      <w:r w:rsidRPr="00F91623">
        <w:rPr>
          <w:rFonts w:asciiTheme="minorHAnsi" w:hAnsiTheme="minorHAnsi" w:cstheme="minorHAnsi"/>
        </w:rPr>
        <w:tab/>
        <w:t>According to the monitoring guidance of the MSFD Technical Expert Group on Marine Litter (</w:t>
      </w:r>
      <w:hyperlink r:id="rId8" w:history="1">
        <w:r w:rsidRPr="00F91623">
          <w:rPr>
            <w:rStyle w:val="Hipervnculo"/>
            <w:rFonts w:asciiTheme="minorHAnsi" w:hAnsiTheme="minorHAnsi" w:cstheme="minorHAnsi"/>
          </w:rPr>
          <w:t>http://publications.jrc.ec.europa.eu/repository/bitstream/JRC83985/lb-na-26113-en-n.pdf</w:t>
        </w:r>
      </w:hyperlink>
      <w:r w:rsidRPr="00F91623">
        <w:rPr>
          <w:rFonts w:asciiTheme="minorHAnsi" w:hAnsiTheme="minorHAnsi" w:cstheme="minorHAnsi"/>
        </w:rPr>
        <w:t xml:space="preserve">) the best available way to survey seabed litter is by utilising existing trawl surveys, because litter monitoring can easily be added, covers a large area and can collect a large amount of litter for analysis. Marine litter data, awareness raising and removal can all be generated as by-products on existing trawl surveys. Especially fisheries cruises designed to quantify and investigate marine fisheries resources are known to generate useful data on marine litter which is “accidently” caught when trawling nets. The main challenge for marine litter monitoring is that there are differences in fisheries surveys in terms of aims, timing, locations and gear types. This complicates further marine litter analysis and needs to be taken into consideration for future assessments. </w:t>
      </w:r>
    </w:p>
    <w:p w14:paraId="013390E3" w14:textId="77777777" w:rsidR="00C80A74" w:rsidRPr="00F91623" w:rsidRDefault="00C80A74" w:rsidP="00C80A74">
      <w:pPr>
        <w:autoSpaceDE w:val="0"/>
        <w:autoSpaceDN w:val="0"/>
        <w:adjustRightInd w:val="0"/>
        <w:spacing w:after="0"/>
        <w:rPr>
          <w:rFonts w:asciiTheme="minorHAnsi" w:hAnsiTheme="minorHAnsi" w:cstheme="minorHAnsi"/>
          <w:sz w:val="24"/>
          <w:szCs w:val="24"/>
        </w:rPr>
      </w:pPr>
    </w:p>
    <w:p w14:paraId="324A0A1D" w14:textId="77777777" w:rsidR="00C80A74" w:rsidRPr="00F91623" w:rsidRDefault="00C80A74" w:rsidP="00C80A74">
      <w:pPr>
        <w:rPr>
          <w:rFonts w:asciiTheme="minorHAnsi" w:hAnsiTheme="minorHAnsi" w:cstheme="minorHAnsi"/>
          <w:sz w:val="24"/>
          <w:szCs w:val="24"/>
        </w:rPr>
      </w:pPr>
      <w:r w:rsidRPr="00F91623">
        <w:rPr>
          <w:rFonts w:asciiTheme="minorHAnsi" w:hAnsiTheme="minorHAnsi" w:cstheme="minorHAnsi"/>
          <w:sz w:val="24"/>
          <w:szCs w:val="24"/>
        </w:rPr>
        <w:t>2.2</w:t>
      </w:r>
      <w:r w:rsidRPr="00F91623">
        <w:rPr>
          <w:rFonts w:asciiTheme="minorHAnsi" w:hAnsiTheme="minorHAnsi" w:cstheme="minorHAnsi"/>
          <w:sz w:val="24"/>
          <w:szCs w:val="24"/>
        </w:rPr>
        <w:tab/>
        <w:t>Quantitative Objectives</w:t>
      </w:r>
    </w:p>
    <w:p w14:paraId="5D72D679" w14:textId="19EDEBFE" w:rsidR="00C80A74" w:rsidRPr="00F91623" w:rsidRDefault="00C80A74" w:rsidP="00C80A74">
      <w:pPr>
        <w:rPr>
          <w:rFonts w:asciiTheme="minorHAnsi" w:hAnsiTheme="minorHAnsi" w:cstheme="minorHAnsi"/>
          <w:lang w:eastAsia="en-GB"/>
        </w:rPr>
      </w:pPr>
      <w:r w:rsidRPr="00F91623">
        <w:rPr>
          <w:rFonts w:asciiTheme="minorHAnsi" w:hAnsiTheme="minorHAnsi" w:cstheme="minorHAnsi"/>
        </w:rPr>
        <w:t>2.2.1.</w:t>
      </w:r>
      <w:r w:rsidRPr="00F91623">
        <w:rPr>
          <w:rFonts w:asciiTheme="minorHAnsi" w:hAnsiTheme="minorHAnsi" w:cstheme="minorHAnsi"/>
          <w:sz w:val="24"/>
          <w:szCs w:val="24"/>
          <w:lang w:eastAsia="en-GB"/>
        </w:rPr>
        <w:tab/>
      </w:r>
      <w:r w:rsidRPr="00F91623">
        <w:rPr>
          <w:rFonts w:asciiTheme="minorHAnsi" w:hAnsiTheme="minorHAnsi" w:cstheme="minorHAnsi"/>
          <w:lang w:eastAsia="en-GB"/>
        </w:rPr>
        <w:t xml:space="preserve">As stated in the 2012 OSPAR </w:t>
      </w:r>
      <w:r w:rsidRPr="00F91623">
        <w:rPr>
          <w:rFonts w:asciiTheme="minorHAnsi" w:hAnsiTheme="minorHAnsi" w:cstheme="minorHAnsi"/>
        </w:rPr>
        <w:t xml:space="preserve">Advice Document on Marine litter (MSFD Descriptor 10): </w:t>
      </w:r>
      <w:r w:rsidRPr="00F91623">
        <w:rPr>
          <w:rFonts w:asciiTheme="minorHAnsi" w:hAnsiTheme="minorHAnsi" w:cstheme="minorHAnsi"/>
          <w:lang w:eastAsia="en-GB"/>
        </w:rPr>
        <w:t xml:space="preserve">Target setting is difficult for almost all indicators under this descriptor for </w:t>
      </w:r>
      <w:r w:rsidR="00F91623" w:rsidRPr="00F91623">
        <w:rPr>
          <w:rFonts w:asciiTheme="minorHAnsi" w:hAnsiTheme="minorHAnsi" w:cstheme="minorHAnsi"/>
          <w:lang w:eastAsia="en-GB"/>
        </w:rPr>
        <w:t>several</w:t>
      </w:r>
      <w:r w:rsidRPr="00F91623">
        <w:rPr>
          <w:rFonts w:asciiTheme="minorHAnsi" w:hAnsiTheme="minorHAnsi" w:cstheme="minorHAnsi"/>
          <w:lang w:eastAsia="en-GB"/>
        </w:rPr>
        <w:t xml:space="preserve"> reasons. Firstly, understanding the relationship between the types and amounts of marine litter in the environment and the degree of ‘harm’ caused at a population and in some cases individual level are not fully understood. Secondly, recognising that Contracting Parties have in place monitoring programmes at differing stages of implementation, we do not yet have a comprehensive understanding, thus it will take several years before enough data is available to robustly detect current trends across the OSPAR region. </w:t>
      </w:r>
      <w:r w:rsidR="00F91623" w:rsidRPr="00F91623">
        <w:rPr>
          <w:rFonts w:asciiTheme="minorHAnsi" w:hAnsiTheme="minorHAnsi" w:cstheme="minorHAnsi"/>
          <w:lang w:eastAsia="en-GB"/>
        </w:rPr>
        <w:t>Finally,</w:t>
      </w:r>
      <w:r w:rsidRPr="00F91623">
        <w:rPr>
          <w:rFonts w:asciiTheme="minorHAnsi" w:hAnsiTheme="minorHAnsi" w:cstheme="minorHAnsi"/>
          <w:lang w:eastAsia="en-GB"/>
        </w:rPr>
        <w:t xml:space="preserve"> the effectiveness of potential management measures to reduce inputs is not completely understood. ICGML concluded in 2012 that for litter on the seafloor there is currently insufficient OSPAR wide data to assess impacts and current trends therefore a trend target would be most appropriate at this time. </w:t>
      </w:r>
    </w:p>
    <w:p w14:paraId="199AC06E" w14:textId="750F88FA" w:rsidR="00C80A74" w:rsidRPr="00F91623" w:rsidRDefault="00C80A74" w:rsidP="00C80A74">
      <w:pPr>
        <w:rPr>
          <w:rFonts w:asciiTheme="minorHAnsi" w:hAnsiTheme="minorHAnsi" w:cstheme="minorHAnsi"/>
        </w:rPr>
      </w:pPr>
      <w:r w:rsidRPr="00F91623">
        <w:rPr>
          <w:rFonts w:asciiTheme="minorHAnsi" w:hAnsiTheme="minorHAnsi" w:cstheme="minorHAnsi"/>
        </w:rPr>
        <w:t>2.2.2.</w:t>
      </w:r>
      <w:r w:rsidRPr="00F91623">
        <w:rPr>
          <w:rFonts w:asciiTheme="minorHAnsi" w:hAnsiTheme="minorHAnsi" w:cstheme="minorHAnsi"/>
        </w:rPr>
        <w:tab/>
        <w:t xml:space="preserve">When designing a monitoring </w:t>
      </w:r>
      <w:r w:rsidR="00F91623" w:rsidRPr="00F91623">
        <w:rPr>
          <w:rFonts w:asciiTheme="minorHAnsi" w:hAnsiTheme="minorHAnsi" w:cstheme="minorHAnsi"/>
        </w:rPr>
        <w:t>programme,</w:t>
      </w:r>
      <w:r w:rsidRPr="00F91623">
        <w:rPr>
          <w:rFonts w:asciiTheme="minorHAnsi" w:hAnsiTheme="minorHAnsi" w:cstheme="minorHAnsi"/>
        </w:rPr>
        <w:t xml:space="preserve"> it is important to consider its power of detection. The power of the design is the probability that it will detect the difference we are interested in. As a design criterion one often prefers the ability of surveys to detect a specific reduction (e.g. 50%) over a </w:t>
      </w:r>
      <w:r w:rsidR="00F91623" w:rsidRPr="00F91623">
        <w:rPr>
          <w:rFonts w:asciiTheme="minorHAnsi" w:hAnsiTheme="minorHAnsi" w:cstheme="minorHAnsi"/>
        </w:rPr>
        <w:t>ten-year</w:t>
      </w:r>
      <w:r w:rsidRPr="00F91623">
        <w:rPr>
          <w:rFonts w:asciiTheme="minorHAnsi" w:hAnsiTheme="minorHAnsi" w:cstheme="minorHAnsi"/>
        </w:rPr>
        <w:t xml:space="preserve"> period with 90% power. Some Contracting Parties have proposed decreasing targets in relation to Indicator 10.1.2 although most have indicated to </w:t>
      </w:r>
      <w:r w:rsidRPr="00F91623">
        <w:rPr>
          <w:rStyle w:val="st"/>
          <w:rFonts w:asciiTheme="minorHAnsi" w:hAnsiTheme="minorHAnsi" w:cstheme="minorHAnsi"/>
        </w:rPr>
        <w:t xml:space="preserve">allow progress to be monitored over time and compared among countries. </w:t>
      </w:r>
    </w:p>
    <w:p w14:paraId="60D4FD5F" w14:textId="5D8C6A17" w:rsidR="00C80A74" w:rsidRPr="00F91623" w:rsidRDefault="00F91623" w:rsidP="00C80A74">
      <w:pPr>
        <w:rPr>
          <w:rFonts w:asciiTheme="minorHAnsi" w:hAnsiTheme="minorHAnsi" w:cstheme="minorHAnsi"/>
        </w:rPr>
      </w:pPr>
      <w:r w:rsidRPr="00F91623">
        <w:rPr>
          <w:rFonts w:asciiTheme="minorHAnsi" w:hAnsiTheme="minorHAnsi" w:cstheme="minorHAnsi"/>
        </w:rPr>
        <w:t xml:space="preserve">2.2.3. </w:t>
      </w:r>
      <w:r w:rsidR="00C80A74" w:rsidRPr="00F91623">
        <w:rPr>
          <w:rFonts w:asciiTheme="minorHAnsi" w:hAnsiTheme="minorHAnsi" w:cstheme="minorHAnsi"/>
        </w:rPr>
        <w:t xml:space="preserve">A cost-effective way to monitor seafloor litter is by conducting the monitoring programme during existing fisheries and environmental surveys which use bottom trawls to collect biota samples from near the seafloor and capture benthic macrolitter as a by-product. Programmes to monitor marine litter on the seafloor using existing trawling surveys have been introduced by several Contracting Parties, which led to the inclusion of seafloor litter in the OSPAR Common Indicator process. </w:t>
      </w:r>
    </w:p>
    <w:p w14:paraId="6609154D" w14:textId="5FA67B60" w:rsidR="00C80A74" w:rsidRPr="00F91623" w:rsidRDefault="00F91623" w:rsidP="00C80A74">
      <w:pPr>
        <w:rPr>
          <w:rFonts w:asciiTheme="minorHAnsi" w:hAnsiTheme="minorHAnsi" w:cstheme="minorHAnsi"/>
        </w:rPr>
      </w:pPr>
      <w:r w:rsidRPr="00F91623">
        <w:rPr>
          <w:rFonts w:asciiTheme="minorHAnsi" w:hAnsiTheme="minorHAnsi" w:cstheme="minorHAnsi"/>
        </w:rPr>
        <w:t xml:space="preserve">2.2.4. </w:t>
      </w:r>
      <w:r w:rsidR="00C80A74" w:rsidRPr="00F91623">
        <w:rPr>
          <w:rFonts w:asciiTheme="minorHAnsi" w:hAnsiTheme="minorHAnsi" w:cstheme="minorHAnsi"/>
        </w:rPr>
        <w:t xml:space="preserve">Almost all Contracting Parties organise fisheries surveys using bottom trawls in the whole OSPAR region, often in overlapping areas (especially in Region II, III, IV). Therefore, seafloor litter data is gathered by individual countries on existing fisheries surveys as a </w:t>
      </w:r>
      <w:r w:rsidRPr="00F91623">
        <w:rPr>
          <w:rFonts w:asciiTheme="minorHAnsi" w:hAnsiTheme="minorHAnsi" w:cstheme="minorHAnsi"/>
        </w:rPr>
        <w:t>by-product</w:t>
      </w:r>
      <w:r w:rsidR="00C80A74" w:rsidRPr="00F91623">
        <w:rPr>
          <w:rFonts w:asciiTheme="minorHAnsi" w:hAnsiTheme="minorHAnsi" w:cstheme="minorHAnsi"/>
        </w:rPr>
        <w:t xml:space="preserve">. A central data depository for seafloor litter data has been created by ICES and an accompanying ICES working group should be created in 2017/18. For this OSPAR assessment, two separate assessments were made as not one survey covered the </w:t>
      </w:r>
      <w:r w:rsidR="00C80A74" w:rsidRPr="00F91623">
        <w:rPr>
          <w:rFonts w:asciiTheme="minorHAnsi" w:hAnsiTheme="minorHAnsi" w:cstheme="minorHAnsi"/>
        </w:rPr>
        <w:lastRenderedPageBreak/>
        <w:t xml:space="preserve">entire region and no mixing of seafloor litter data from different surveys were done. For region II, III and the northern part of region IV seafloor data generated by the IBTS survey using a GOV trawl was used. For the assessment covering the Iberian coast and Golf of Cadiz seafloor litter data from the </w:t>
      </w:r>
      <w:r w:rsidR="00C80A74" w:rsidRPr="00F91623">
        <w:rPr>
          <w:rFonts w:asciiTheme="minorHAnsi" w:hAnsiTheme="minorHAnsi" w:cstheme="minorHAnsi"/>
          <w:bCs/>
        </w:rPr>
        <w:t>Spanish</w:t>
      </w:r>
      <w:r w:rsidR="00C80A74" w:rsidRPr="00F91623">
        <w:rPr>
          <w:rFonts w:asciiTheme="minorHAnsi" w:hAnsiTheme="minorHAnsi" w:cstheme="minorHAnsi"/>
        </w:rPr>
        <w:t xml:space="preserve"> Groundfish </w:t>
      </w:r>
      <w:r w:rsidR="00C80A74" w:rsidRPr="00F91623">
        <w:rPr>
          <w:rFonts w:asciiTheme="minorHAnsi" w:hAnsiTheme="minorHAnsi" w:cstheme="minorHAnsi"/>
          <w:bCs/>
        </w:rPr>
        <w:t>Survey</w:t>
      </w:r>
      <w:r w:rsidR="00C80A74" w:rsidRPr="00F91623">
        <w:rPr>
          <w:rFonts w:asciiTheme="minorHAnsi" w:hAnsiTheme="minorHAnsi" w:cstheme="minorHAnsi"/>
        </w:rPr>
        <w:t xml:space="preserve"> using a BAK trawl was used. Although both bottom trawls have a similar design, the smaller mesh sizes in the cod end of the BAK trawl probably lead to retention of higher amounts of seafloor litter.</w:t>
      </w:r>
    </w:p>
    <w:p w14:paraId="05832B7B" w14:textId="77777777" w:rsidR="00C80A74" w:rsidRPr="00F91623" w:rsidRDefault="00C80A74" w:rsidP="00C80A74">
      <w:pPr>
        <w:rPr>
          <w:rFonts w:asciiTheme="minorHAnsi" w:hAnsiTheme="minorHAnsi" w:cstheme="minorHAnsi"/>
          <w:lang w:val="en-US"/>
        </w:rPr>
      </w:pPr>
    </w:p>
    <w:p w14:paraId="1427AE81" w14:textId="101D5F80" w:rsidR="00C80A74" w:rsidRPr="00F91623" w:rsidRDefault="00C80A74" w:rsidP="00C80A74">
      <w:pPr>
        <w:rPr>
          <w:rFonts w:asciiTheme="minorHAnsi" w:hAnsiTheme="minorHAnsi" w:cstheme="minorHAnsi"/>
        </w:rPr>
      </w:pPr>
      <w:r w:rsidRPr="00F91623">
        <w:rPr>
          <w:rFonts w:asciiTheme="minorHAnsi" w:hAnsiTheme="minorHAnsi" w:cstheme="minorHAnsi"/>
          <w:noProof/>
          <w:lang w:val="es-ES" w:eastAsia="es-ES"/>
        </w:rPr>
        <w:drawing>
          <wp:inline distT="0" distB="0" distL="0" distR="0" wp14:anchorId="30C1170A" wp14:editId="7A9D9EAA">
            <wp:extent cx="156210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l="2646" t="50499" r="53967"/>
                    <a:stretch>
                      <a:fillRect/>
                    </a:stretch>
                  </pic:blipFill>
                  <pic:spPr bwMode="auto">
                    <a:xfrm>
                      <a:off x="0" y="0"/>
                      <a:ext cx="1562100" cy="1419225"/>
                    </a:xfrm>
                    <a:prstGeom prst="rect">
                      <a:avLst/>
                    </a:prstGeom>
                    <a:noFill/>
                    <a:ln>
                      <a:noFill/>
                    </a:ln>
                  </pic:spPr>
                </pic:pic>
              </a:graphicData>
            </a:graphic>
          </wp:inline>
        </w:drawing>
      </w:r>
      <w:r w:rsidRPr="00F91623">
        <w:rPr>
          <w:rFonts w:asciiTheme="minorHAnsi" w:hAnsiTheme="minorHAnsi" w:cstheme="minorHAnsi"/>
          <w:noProof/>
          <w:lang w:val="es-ES" w:eastAsia="es-ES"/>
        </w:rPr>
        <w:drawing>
          <wp:inline distT="0" distB="0" distL="0" distR="0" wp14:anchorId="0BDCDD44" wp14:editId="332136C5">
            <wp:extent cx="1628775" cy="1438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grayscl/>
                      <a:extLst>
                        <a:ext uri="{28A0092B-C50C-407E-A947-70E740481C1C}">
                          <a14:useLocalDpi xmlns:a14="http://schemas.microsoft.com/office/drawing/2010/main" val="0"/>
                        </a:ext>
                      </a:extLst>
                    </a:blip>
                    <a:srcRect l="1323" t="49834" r="53439"/>
                    <a:stretch>
                      <a:fillRect/>
                    </a:stretch>
                  </pic:blipFill>
                  <pic:spPr bwMode="auto">
                    <a:xfrm>
                      <a:off x="0" y="0"/>
                      <a:ext cx="1628775" cy="1438275"/>
                    </a:xfrm>
                    <a:prstGeom prst="rect">
                      <a:avLst/>
                    </a:prstGeom>
                    <a:noFill/>
                    <a:ln>
                      <a:noFill/>
                    </a:ln>
                  </pic:spPr>
                </pic:pic>
              </a:graphicData>
            </a:graphic>
          </wp:inline>
        </w:drawing>
      </w:r>
    </w:p>
    <w:p w14:paraId="515E53C5" w14:textId="0F0EBCF3" w:rsidR="00C80A74" w:rsidRDefault="00F91623" w:rsidP="00C80A74">
      <w:pPr>
        <w:rPr>
          <w:rFonts w:asciiTheme="minorHAnsi" w:hAnsiTheme="minorHAnsi" w:cstheme="minorHAnsi"/>
          <w:b/>
          <w:sz w:val="20"/>
          <w:szCs w:val="20"/>
        </w:rPr>
      </w:pPr>
      <w:r w:rsidRPr="00F91623">
        <w:rPr>
          <w:rFonts w:asciiTheme="minorHAnsi" w:hAnsiTheme="minorHAnsi" w:cstheme="minorHAnsi"/>
          <w:b/>
          <w:sz w:val="20"/>
          <w:szCs w:val="20"/>
        </w:rPr>
        <w:t>Figure 1:</w:t>
      </w:r>
      <w:r w:rsidR="00C80A74" w:rsidRPr="00F91623">
        <w:rPr>
          <w:rFonts w:asciiTheme="minorHAnsi" w:hAnsiTheme="minorHAnsi" w:cstheme="minorHAnsi"/>
          <w:b/>
          <w:sz w:val="20"/>
          <w:szCs w:val="20"/>
        </w:rPr>
        <w:t xml:space="preserve"> Stations used for the assessment covering region II, III and the northern part of region IV (GOV) and the assessment covering the Iberian coast and Golf of Cadiz (BAK) haul locations</w:t>
      </w:r>
    </w:p>
    <w:p w14:paraId="4373646F" w14:textId="77777777" w:rsidR="00F91623" w:rsidRPr="00F91623" w:rsidRDefault="00F91623" w:rsidP="00C80A74">
      <w:pPr>
        <w:rPr>
          <w:rFonts w:asciiTheme="minorHAnsi" w:hAnsiTheme="minorHAnsi" w:cstheme="minorHAnsi"/>
          <w:b/>
          <w:sz w:val="20"/>
          <w:szCs w:val="20"/>
        </w:rPr>
      </w:pPr>
    </w:p>
    <w:p w14:paraId="2AC07C4B" w14:textId="77777777" w:rsidR="00C80A74" w:rsidRPr="00F91623" w:rsidRDefault="00C80A74" w:rsidP="00C80A74">
      <w:pPr>
        <w:rPr>
          <w:rFonts w:asciiTheme="minorHAnsi" w:hAnsiTheme="minorHAnsi" w:cstheme="minorHAnsi"/>
          <w:sz w:val="24"/>
          <w:szCs w:val="24"/>
        </w:rPr>
      </w:pPr>
      <w:r w:rsidRPr="00F91623">
        <w:rPr>
          <w:rFonts w:asciiTheme="minorHAnsi" w:hAnsiTheme="minorHAnsi" w:cstheme="minorHAnsi"/>
          <w:sz w:val="24"/>
          <w:szCs w:val="24"/>
        </w:rPr>
        <w:t>2.3</w:t>
      </w:r>
      <w:r w:rsidRPr="00F91623">
        <w:rPr>
          <w:rFonts w:asciiTheme="minorHAnsi" w:hAnsiTheme="minorHAnsi" w:cstheme="minorHAnsi"/>
          <w:sz w:val="24"/>
          <w:szCs w:val="24"/>
        </w:rPr>
        <w:tab/>
        <w:t>Monitoring Strategy</w:t>
      </w:r>
    </w:p>
    <w:p w14:paraId="356D06EA" w14:textId="2E7E80CC" w:rsidR="00C80A74" w:rsidRPr="00F91623" w:rsidRDefault="00C80A74" w:rsidP="00C80A74">
      <w:pPr>
        <w:rPr>
          <w:rFonts w:asciiTheme="minorHAnsi" w:hAnsiTheme="minorHAnsi" w:cstheme="minorHAnsi"/>
          <w:lang w:val="en-US"/>
        </w:rPr>
      </w:pPr>
      <w:r w:rsidRPr="00F91623">
        <w:rPr>
          <w:rFonts w:asciiTheme="minorHAnsi" w:hAnsiTheme="minorHAnsi" w:cstheme="minorHAnsi"/>
        </w:rPr>
        <w:t>2.3.1</w:t>
      </w:r>
      <w:r w:rsidRPr="00F91623">
        <w:rPr>
          <w:rFonts w:asciiTheme="minorHAnsi" w:hAnsiTheme="minorHAnsi" w:cstheme="minorHAnsi"/>
        </w:rPr>
        <w:tab/>
        <w:t xml:space="preserve">Most trawl surveys suited for marine litter data collection are targeted on fisheries objectives and thus there is a risk that surveys may be discontinued for reasons outside the scope of MSFD litter monitoring.  Initiating a targeted marine litter programme for higher resolution temporal trend monitoring would, however, involve additional costs, and these would depend on the magnitude of the time trend to be detected with a level of statistical certainty and the time period within which it is to be found.  </w:t>
      </w:r>
      <w:r w:rsidR="00F91623" w:rsidRPr="00F91623">
        <w:rPr>
          <w:rFonts w:asciiTheme="minorHAnsi" w:hAnsiTheme="minorHAnsi" w:cstheme="minorHAnsi"/>
        </w:rPr>
        <w:t>To</w:t>
      </w:r>
      <w:r w:rsidRPr="00F91623">
        <w:rPr>
          <w:rFonts w:asciiTheme="minorHAnsi" w:hAnsiTheme="minorHAnsi" w:cstheme="minorHAnsi"/>
        </w:rPr>
        <w:t xml:space="preserve"> achieve such detection levels, dedicated marine litter surveys would have to take place and go out to specifically collect benthic litter data. This is not only costly, but also requires that we will have to trawl the seafloor even more. However, many European countries already undertake environmental and fisheries trawl surveys, therefore standardisation of marine litter data collection and reporting among OSPAR Contracting Parties enlarges the available dataset and thus ability to detect small changes in the abundance of seafloor litter. The current monitoring strategy and sampling procedures are driven by the requirements of fisheries surveys.  </w:t>
      </w:r>
    </w:p>
    <w:p w14:paraId="32AF054B" w14:textId="77777777" w:rsidR="00C80A74" w:rsidRPr="00F91623" w:rsidRDefault="00C80A74" w:rsidP="00C80A74">
      <w:pPr>
        <w:rPr>
          <w:rFonts w:asciiTheme="minorHAnsi" w:hAnsiTheme="minorHAnsi" w:cstheme="minorHAnsi"/>
          <w:sz w:val="24"/>
          <w:szCs w:val="24"/>
        </w:rPr>
      </w:pPr>
      <w:r w:rsidRPr="00F91623">
        <w:rPr>
          <w:rFonts w:asciiTheme="minorHAnsi" w:hAnsiTheme="minorHAnsi" w:cstheme="minorHAnsi"/>
          <w:sz w:val="24"/>
          <w:szCs w:val="24"/>
        </w:rPr>
        <w:t>2.4</w:t>
      </w:r>
      <w:r w:rsidRPr="00F91623">
        <w:rPr>
          <w:rFonts w:asciiTheme="minorHAnsi" w:hAnsiTheme="minorHAnsi" w:cstheme="minorHAnsi"/>
          <w:sz w:val="24"/>
          <w:szCs w:val="24"/>
        </w:rPr>
        <w:tab/>
        <w:t>Sampling Strategy</w:t>
      </w:r>
    </w:p>
    <w:p w14:paraId="7F6AD041" w14:textId="54764C07" w:rsidR="00C80A74" w:rsidRPr="00F91623" w:rsidRDefault="00C80A74" w:rsidP="00C80A74">
      <w:pPr>
        <w:pStyle w:val="NormalWeb"/>
        <w:spacing w:line="276" w:lineRule="auto"/>
        <w:jc w:val="both"/>
        <w:rPr>
          <w:rFonts w:asciiTheme="minorHAnsi" w:eastAsia="Times New Roman" w:hAnsiTheme="minorHAnsi" w:cstheme="minorHAnsi"/>
          <w:sz w:val="22"/>
          <w:szCs w:val="22"/>
          <w:lang w:val="en-US" w:eastAsia="en-US"/>
        </w:rPr>
      </w:pPr>
      <w:r w:rsidRPr="00F91623">
        <w:rPr>
          <w:rFonts w:asciiTheme="minorHAnsi" w:hAnsiTheme="minorHAnsi" w:cstheme="minorHAnsi"/>
          <w:sz w:val="22"/>
          <w:szCs w:val="22"/>
        </w:rPr>
        <w:t>2.4.1</w:t>
      </w:r>
      <w:r w:rsidRPr="00F91623">
        <w:rPr>
          <w:rFonts w:asciiTheme="minorHAnsi" w:hAnsiTheme="minorHAnsi" w:cstheme="minorHAnsi"/>
          <w:sz w:val="22"/>
          <w:szCs w:val="22"/>
        </w:rPr>
        <w:tab/>
      </w:r>
      <w:r w:rsidRPr="00F91623">
        <w:rPr>
          <w:rFonts w:asciiTheme="minorHAnsi" w:eastAsia="Times New Roman" w:hAnsiTheme="minorHAnsi" w:cstheme="minorHAnsi"/>
          <w:sz w:val="22"/>
          <w:szCs w:val="22"/>
          <w:lang w:val="en-US" w:eastAsia="en-US"/>
        </w:rPr>
        <w:t xml:space="preserve">Bottom trawl surveys are widely used for monitoring demersal stocks when only an index of abundance is required. The estimation of total biomass is based on the catch per unit of effort (or unit area), however, involves several crucial assumptions, leaving such estimates rather imprecise. The mean catch (either in weight or in numbers) per unit of effort or per unit of area is an index of the stock abundance (i.e. assumed to be proportional to the abundance). Similar assumptions can be made in relation to the number of caught litter items, nevertheless there will be a relationship on average. </w:t>
      </w:r>
      <w:r w:rsidR="00651037" w:rsidRPr="00F91623">
        <w:rPr>
          <w:rFonts w:asciiTheme="minorHAnsi" w:eastAsia="Times New Roman" w:hAnsiTheme="minorHAnsi" w:cstheme="minorHAnsi"/>
          <w:sz w:val="22"/>
          <w:szCs w:val="22"/>
          <w:lang w:val="en-US" w:eastAsia="en-US"/>
        </w:rPr>
        <w:t xml:space="preserve">If there is twice as much litter on the seafloor, you would expect to catch twice as much litter on average. </w:t>
      </w:r>
      <w:r w:rsidRPr="00F91623">
        <w:rPr>
          <w:rFonts w:asciiTheme="minorHAnsi" w:eastAsia="Times New Roman" w:hAnsiTheme="minorHAnsi" w:cstheme="minorHAnsi"/>
          <w:sz w:val="22"/>
          <w:szCs w:val="22"/>
          <w:lang w:val="en-US" w:eastAsia="en-US"/>
        </w:rPr>
        <w:t xml:space="preserve"> Fisheries surveys have hardly changed over time in terms of sampling procedure. The litter data they generate therefore allows us to set baselines and trends based on sound methods in an environmental matrix where information normally comes at high cost.</w:t>
      </w:r>
    </w:p>
    <w:p w14:paraId="3FC44ECA" w14:textId="69FFF1B6" w:rsidR="00C80A74" w:rsidRPr="00F91623" w:rsidRDefault="00C80A74" w:rsidP="00C80A74">
      <w:pPr>
        <w:rPr>
          <w:rFonts w:asciiTheme="minorHAnsi" w:hAnsiTheme="minorHAnsi" w:cstheme="minorHAnsi"/>
        </w:rPr>
      </w:pPr>
      <w:r w:rsidRPr="00F91623">
        <w:rPr>
          <w:rFonts w:asciiTheme="minorHAnsi" w:hAnsiTheme="minorHAnsi" w:cstheme="minorHAnsi"/>
          <w:lang w:val="en-US"/>
        </w:rPr>
        <w:t>2.4.2</w:t>
      </w:r>
      <w:r w:rsidRPr="00F91623">
        <w:rPr>
          <w:rFonts w:asciiTheme="minorHAnsi" w:hAnsiTheme="minorHAnsi" w:cstheme="minorHAnsi"/>
          <w:lang w:val="en-US"/>
        </w:rPr>
        <w:tab/>
        <w:t xml:space="preserve">Given that it is the fisheries surveys that will be driving the sampling, the marine litter programme and assessment method will need to be flexible. </w:t>
      </w:r>
      <w:r w:rsidRPr="00F91623">
        <w:rPr>
          <w:rFonts w:asciiTheme="minorHAnsi" w:hAnsiTheme="minorHAnsi" w:cstheme="minorHAnsi"/>
        </w:rPr>
        <w:t xml:space="preserve">As a result of different monitoring strategies and sampling procedures, varying types of marine litter data will be collected on different trawl surveys. If different </w:t>
      </w:r>
      <w:r w:rsidRPr="00F91623">
        <w:rPr>
          <w:rFonts w:asciiTheme="minorHAnsi" w:hAnsiTheme="minorHAnsi" w:cstheme="minorHAnsi"/>
        </w:rPr>
        <w:lastRenderedPageBreak/>
        <w:t xml:space="preserve">trawls are used, parallel or alternate hauls should be carried out </w:t>
      </w:r>
      <w:r w:rsidR="00F91623" w:rsidRPr="00F91623">
        <w:rPr>
          <w:rFonts w:asciiTheme="minorHAnsi" w:hAnsiTheme="minorHAnsi" w:cstheme="minorHAnsi"/>
        </w:rPr>
        <w:t>to</w:t>
      </w:r>
      <w:r w:rsidRPr="00F91623">
        <w:rPr>
          <w:rFonts w:asciiTheme="minorHAnsi" w:hAnsiTheme="minorHAnsi" w:cstheme="minorHAnsi"/>
        </w:rPr>
        <w:t xml:space="preserve"> estimate correction factors for pooling of marine litter data. In the absence of such correction factors, mixing of survey data need to be avoided (e.g. GOV and BAK assessment).</w:t>
      </w:r>
    </w:p>
    <w:p w14:paraId="690F7AEA" w14:textId="77777777" w:rsidR="00C80A74" w:rsidRPr="00F91623" w:rsidRDefault="00C80A74" w:rsidP="00C80A74">
      <w:pPr>
        <w:rPr>
          <w:rFonts w:asciiTheme="minorHAnsi" w:hAnsiTheme="minorHAnsi" w:cstheme="minorHAnsi"/>
        </w:rPr>
      </w:pPr>
      <w:r w:rsidRPr="00F91623">
        <w:rPr>
          <w:rFonts w:asciiTheme="minorHAnsi" w:hAnsiTheme="minorHAnsi" w:cstheme="minorHAnsi"/>
        </w:rPr>
        <w:t>2.4.3</w:t>
      </w:r>
      <w:r w:rsidRPr="00F91623">
        <w:rPr>
          <w:rFonts w:asciiTheme="minorHAnsi" w:hAnsiTheme="minorHAnsi" w:cstheme="minorHAnsi"/>
        </w:rPr>
        <w:tab/>
        <w:t>Within the OSPAR region most fish trawl surveys are coordinated by ICES expert groups. The survey data are covering the Baltic Sea, Skagerrak, Kattegat, North Sea, English Channel, Celtic Sea, Irish Sea, Bay of Biscay and the eastern Atlantic from the Shetlands to Gibraltar. DATRAS (the Database of Trawl Surveys) has been developed to collate and document the survey data, assure data quality, standardise data formats and calculations, and ease data handling and availability. Those existing frameworks and databases have been adapted by the ICES Data Centre to accommodate OSPAR seafloor litter data.</w:t>
      </w:r>
    </w:p>
    <w:p w14:paraId="11EB538E" w14:textId="0876D1B8" w:rsidR="00C80A74" w:rsidRPr="00F91623" w:rsidRDefault="00C80A74" w:rsidP="00C80A74">
      <w:pPr>
        <w:spacing w:before="100" w:beforeAutospacing="1" w:after="100" w:afterAutospacing="1"/>
        <w:rPr>
          <w:rFonts w:asciiTheme="minorHAnsi" w:hAnsiTheme="minorHAnsi" w:cstheme="minorHAnsi"/>
        </w:rPr>
      </w:pPr>
      <w:r w:rsidRPr="00F91623">
        <w:rPr>
          <w:rFonts w:asciiTheme="minorHAnsi" w:hAnsiTheme="minorHAnsi" w:cstheme="minorHAnsi"/>
        </w:rPr>
        <w:t>2.4.4</w:t>
      </w:r>
      <w:r w:rsidRPr="00F91623">
        <w:rPr>
          <w:rFonts w:asciiTheme="minorHAnsi" w:hAnsiTheme="minorHAnsi" w:cstheme="minorHAnsi"/>
        </w:rPr>
        <w:tab/>
        <w:t xml:space="preserve">For each survey, the following information was recorded: the definition and specification of the survey, the positions of stop and start of each trawl and its technical specification e.g. wing spread, mesh size of net, cod end and blinders. After each tow, </w:t>
      </w:r>
      <w:r w:rsidR="00651037" w:rsidRPr="00F91623">
        <w:rPr>
          <w:rFonts w:asciiTheme="minorHAnsi" w:hAnsiTheme="minorHAnsi" w:cstheme="minorHAnsi"/>
          <w:lang w:val="en-US"/>
        </w:rPr>
        <w:t>the catch was</w:t>
      </w:r>
      <w:r w:rsidR="00651037" w:rsidRPr="00F91623">
        <w:rPr>
          <w:rFonts w:asciiTheme="minorHAnsi" w:hAnsiTheme="minorHAnsi" w:cstheme="minorHAnsi"/>
        </w:rPr>
        <w:t xml:space="preserve"> </w:t>
      </w:r>
      <w:r w:rsidRPr="00F91623">
        <w:rPr>
          <w:rFonts w:asciiTheme="minorHAnsi" w:hAnsiTheme="minorHAnsi" w:cstheme="minorHAnsi"/>
        </w:rPr>
        <w:t xml:space="preserve">deposited in the fish pound or hopper before being sorted, then all litter items were manually picked from the </w:t>
      </w:r>
      <w:r w:rsidR="00651037" w:rsidRPr="00F91623">
        <w:rPr>
          <w:rFonts w:asciiTheme="minorHAnsi" w:hAnsiTheme="minorHAnsi" w:cstheme="minorHAnsi"/>
        </w:rPr>
        <w:t xml:space="preserve">entire net, including ground ropes, fishing lines, </w:t>
      </w:r>
      <w:r w:rsidRPr="00F91623">
        <w:rPr>
          <w:rFonts w:asciiTheme="minorHAnsi" w:hAnsiTheme="minorHAnsi" w:cstheme="minorHAnsi"/>
        </w:rPr>
        <w:t xml:space="preserve">hopper and cod end and classified according to the classification system </w:t>
      </w:r>
      <w:r w:rsidR="00020984" w:rsidRPr="00F91623">
        <w:rPr>
          <w:rFonts w:asciiTheme="minorHAnsi" w:hAnsiTheme="minorHAnsi" w:cstheme="minorHAnsi"/>
        </w:rPr>
        <w:t>as listed below</w:t>
      </w:r>
      <w:r w:rsidRPr="00F91623">
        <w:rPr>
          <w:rFonts w:asciiTheme="minorHAnsi" w:hAnsiTheme="minorHAnsi" w:cstheme="minorHAnsi"/>
        </w:rPr>
        <w:t xml:space="preserve">. </w:t>
      </w:r>
      <w:r w:rsidR="004D5686" w:rsidRPr="00F91623">
        <w:rPr>
          <w:rFonts w:asciiTheme="minorHAnsi" w:hAnsiTheme="minorHAnsi" w:cstheme="minorHAnsi"/>
        </w:rPr>
        <w:t>When fragments from one item are found</w:t>
      </w:r>
      <w:r w:rsidR="00020984" w:rsidRPr="00F91623">
        <w:rPr>
          <w:rFonts w:asciiTheme="minorHAnsi" w:hAnsiTheme="minorHAnsi" w:cstheme="minorHAnsi"/>
        </w:rPr>
        <w:t xml:space="preserve"> and clearly are defragmented as a result of the trawling</w:t>
      </w:r>
      <w:r w:rsidR="004D5686" w:rsidRPr="00F91623">
        <w:rPr>
          <w:rFonts w:asciiTheme="minorHAnsi" w:hAnsiTheme="minorHAnsi" w:cstheme="minorHAnsi"/>
        </w:rPr>
        <w:t xml:space="preserve">, </w:t>
      </w:r>
      <w:r w:rsidR="00020984" w:rsidRPr="00F91623">
        <w:rPr>
          <w:rFonts w:asciiTheme="minorHAnsi" w:hAnsiTheme="minorHAnsi" w:cstheme="minorHAnsi"/>
        </w:rPr>
        <w:t xml:space="preserve">then </w:t>
      </w:r>
      <w:r w:rsidR="004D5686" w:rsidRPr="00F91623">
        <w:rPr>
          <w:rFonts w:asciiTheme="minorHAnsi" w:hAnsiTheme="minorHAnsi" w:cstheme="minorHAnsi"/>
        </w:rPr>
        <w:t>these need to be counted as one item. For fishing lines being caught in one haul</w:t>
      </w:r>
      <w:r w:rsidR="00020984" w:rsidRPr="00F91623">
        <w:rPr>
          <w:rFonts w:asciiTheme="minorHAnsi" w:hAnsiTheme="minorHAnsi" w:cstheme="minorHAnsi"/>
        </w:rPr>
        <w:t>,</w:t>
      </w:r>
      <w:r w:rsidR="004D5686" w:rsidRPr="00F91623">
        <w:rPr>
          <w:rFonts w:asciiTheme="minorHAnsi" w:hAnsiTheme="minorHAnsi" w:cstheme="minorHAnsi"/>
        </w:rPr>
        <w:t xml:space="preserve"> items can be categorised as monofilament or entangled. A haul can contain several monofilament and entangled lines</w:t>
      </w:r>
      <w:r w:rsidR="00020984" w:rsidRPr="00F91623">
        <w:rPr>
          <w:rFonts w:asciiTheme="minorHAnsi" w:hAnsiTheme="minorHAnsi" w:cstheme="minorHAnsi"/>
        </w:rPr>
        <w:t xml:space="preserve"> which need to be counted individually</w:t>
      </w:r>
      <w:r w:rsidR="004D5686" w:rsidRPr="00F91623">
        <w:rPr>
          <w:rFonts w:asciiTheme="minorHAnsi" w:hAnsiTheme="minorHAnsi" w:cstheme="minorHAnsi"/>
        </w:rPr>
        <w:t xml:space="preserve">. </w:t>
      </w:r>
      <w:r w:rsidR="00020984" w:rsidRPr="00F91623">
        <w:rPr>
          <w:rFonts w:asciiTheme="minorHAnsi" w:hAnsiTheme="minorHAnsi" w:cstheme="minorHAnsi"/>
        </w:rPr>
        <w:t>The litter items are categorised as present in the haul, no further separation or disentanglement is required.</w:t>
      </w:r>
      <w:r w:rsidR="00020984" w:rsidRPr="00F91623">
        <w:rPr>
          <w:rFonts w:asciiTheme="minorHAnsi" w:hAnsiTheme="minorHAnsi" w:cstheme="minorHAnsi"/>
          <w:lang w:eastAsia="en-GB"/>
        </w:rPr>
        <w:t xml:space="preserve"> The</w:t>
      </w:r>
      <w:r w:rsidRPr="00F91623">
        <w:rPr>
          <w:rFonts w:asciiTheme="minorHAnsi" w:hAnsiTheme="minorHAnsi" w:cstheme="minorHAnsi"/>
          <w:lang w:eastAsia="en-GB"/>
        </w:rPr>
        <w:t xml:space="preserve"> classification system, is composed of six main categories of litter (Plastic, Metal, Rubber, Glass, Natural and Miscellaneous), each divided into sub-categories (39 in total).</w:t>
      </w:r>
      <w:r w:rsidRPr="00F91623" w:rsidDel="00F218C6">
        <w:rPr>
          <w:rFonts w:asciiTheme="minorHAnsi" w:hAnsiTheme="minorHAnsi" w:cstheme="minorHAnsi"/>
        </w:rPr>
        <w:t xml:space="preserve"> </w:t>
      </w:r>
      <w:r w:rsidRPr="00F91623">
        <w:rPr>
          <w:rFonts w:asciiTheme="minorHAnsi" w:hAnsiTheme="minorHAnsi" w:cstheme="minorHAnsi"/>
        </w:rPr>
        <w:t xml:space="preserve">An overview can be found </w:t>
      </w:r>
      <w:r w:rsidR="00020984" w:rsidRPr="00F91623">
        <w:rPr>
          <w:rFonts w:asciiTheme="minorHAnsi" w:hAnsiTheme="minorHAnsi" w:cstheme="minorHAnsi"/>
        </w:rPr>
        <w:t>here</w:t>
      </w:r>
      <w:r w:rsidRPr="00F91623">
        <w:rPr>
          <w:rFonts w:asciiTheme="minorHAnsi" w:hAnsiTheme="minorHAnsi" w:cstheme="minorHAnsi"/>
        </w:rPr>
        <w:t>:</w:t>
      </w:r>
    </w:p>
    <w:tbl>
      <w:tblPr>
        <w:tblW w:w="5181" w:type="pct"/>
        <w:tblCellMar>
          <w:left w:w="0" w:type="dxa"/>
          <w:right w:w="0" w:type="dxa"/>
        </w:tblCellMar>
        <w:tblLook w:val="04A0" w:firstRow="1" w:lastRow="0" w:firstColumn="1" w:lastColumn="0" w:noHBand="0" w:noVBand="1"/>
      </w:tblPr>
      <w:tblGrid>
        <w:gridCol w:w="2489"/>
        <w:gridCol w:w="1928"/>
        <w:gridCol w:w="2352"/>
        <w:gridCol w:w="3368"/>
      </w:tblGrid>
      <w:tr w:rsidR="00C80A74" w:rsidRPr="00F91623" w14:paraId="5A59D68D" w14:textId="77777777" w:rsidTr="00651037">
        <w:trPr>
          <w:trHeight w:val="336"/>
        </w:trPr>
        <w:tc>
          <w:tcPr>
            <w:tcW w:w="1227" w:type="pct"/>
            <w:tcBorders>
              <w:top w:val="single" w:sz="4" w:space="0" w:color="auto"/>
              <w:left w:val="single" w:sz="4" w:space="0" w:color="auto"/>
              <w:bottom w:val="single" w:sz="24" w:space="0" w:color="FFFFFF"/>
              <w:right w:val="single" w:sz="4" w:space="0" w:color="auto"/>
            </w:tcBorders>
            <w:shd w:val="clear" w:color="auto" w:fill="548DD4" w:themeFill="text2" w:themeFillTint="99"/>
            <w:tcMar>
              <w:top w:w="15" w:type="dxa"/>
              <w:left w:w="72" w:type="dxa"/>
              <w:bottom w:w="0" w:type="dxa"/>
              <w:right w:w="72" w:type="dxa"/>
            </w:tcMar>
            <w:vAlign w:val="bottom"/>
            <w:hideMark/>
          </w:tcPr>
          <w:p w14:paraId="0BF11B52" w14:textId="77777777" w:rsidR="00C80A74" w:rsidRPr="00F91623" w:rsidRDefault="00C80A74" w:rsidP="00651037">
            <w:pPr>
              <w:spacing w:before="100" w:beforeAutospacing="1" w:after="100" w:afterAutospacing="1"/>
              <w:rPr>
                <w:rFonts w:asciiTheme="minorHAnsi" w:hAnsiTheme="minorHAnsi" w:cstheme="minorHAnsi"/>
                <w:b/>
                <w:noProof/>
                <w:lang w:eastAsia="en-GB"/>
              </w:rPr>
            </w:pPr>
            <w:r w:rsidRPr="00F91623">
              <w:rPr>
                <w:rFonts w:asciiTheme="minorHAnsi" w:hAnsiTheme="minorHAnsi" w:cstheme="minorHAnsi"/>
                <w:b/>
                <w:bCs/>
                <w:noProof/>
                <w:lang w:eastAsia="en-GB"/>
              </w:rPr>
              <w:t xml:space="preserve">A: Plastic </w:t>
            </w:r>
          </w:p>
        </w:tc>
        <w:tc>
          <w:tcPr>
            <w:tcW w:w="951" w:type="pct"/>
            <w:tcBorders>
              <w:top w:val="single" w:sz="4" w:space="0" w:color="auto"/>
              <w:left w:val="single" w:sz="4" w:space="0" w:color="auto"/>
              <w:bottom w:val="single" w:sz="24" w:space="0" w:color="FFFFFF"/>
              <w:right w:val="single" w:sz="4" w:space="0" w:color="auto"/>
            </w:tcBorders>
            <w:shd w:val="clear" w:color="auto" w:fill="548DD4" w:themeFill="text2" w:themeFillTint="99"/>
            <w:tcMar>
              <w:top w:w="15" w:type="dxa"/>
              <w:left w:w="72" w:type="dxa"/>
              <w:bottom w:w="0" w:type="dxa"/>
              <w:right w:w="72" w:type="dxa"/>
            </w:tcMar>
            <w:vAlign w:val="bottom"/>
            <w:hideMark/>
          </w:tcPr>
          <w:p w14:paraId="3BB1DD20" w14:textId="77777777" w:rsidR="00C80A74" w:rsidRPr="00F91623" w:rsidRDefault="00C80A74" w:rsidP="00651037">
            <w:pPr>
              <w:spacing w:before="100" w:beforeAutospacing="1" w:after="100" w:afterAutospacing="1"/>
              <w:rPr>
                <w:rFonts w:asciiTheme="minorHAnsi" w:hAnsiTheme="minorHAnsi" w:cstheme="minorHAnsi"/>
                <w:b/>
                <w:noProof/>
                <w:lang w:eastAsia="en-GB"/>
              </w:rPr>
            </w:pPr>
            <w:r w:rsidRPr="00F91623">
              <w:rPr>
                <w:rFonts w:asciiTheme="minorHAnsi" w:hAnsiTheme="minorHAnsi" w:cstheme="minorHAnsi"/>
                <w:b/>
                <w:bCs/>
                <w:noProof/>
                <w:lang w:eastAsia="en-GB"/>
              </w:rPr>
              <w:t>B: Metals</w:t>
            </w:r>
          </w:p>
        </w:tc>
        <w:tc>
          <w:tcPr>
            <w:tcW w:w="1160" w:type="pct"/>
            <w:tcBorders>
              <w:top w:val="single" w:sz="4" w:space="0" w:color="auto"/>
              <w:left w:val="single" w:sz="4" w:space="0" w:color="auto"/>
              <w:bottom w:val="single" w:sz="24" w:space="0" w:color="FFFFFF"/>
              <w:right w:val="single" w:sz="4" w:space="0" w:color="auto"/>
            </w:tcBorders>
            <w:shd w:val="clear" w:color="auto" w:fill="auto"/>
            <w:tcMar>
              <w:top w:w="15" w:type="dxa"/>
              <w:left w:w="72" w:type="dxa"/>
              <w:bottom w:w="0" w:type="dxa"/>
              <w:right w:w="72" w:type="dxa"/>
            </w:tcMar>
            <w:vAlign w:val="bottom"/>
            <w:hideMark/>
          </w:tcPr>
          <w:p w14:paraId="317CE147"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 </w:t>
            </w:r>
          </w:p>
        </w:tc>
        <w:tc>
          <w:tcPr>
            <w:tcW w:w="1661" w:type="pct"/>
            <w:tcBorders>
              <w:top w:val="single" w:sz="4" w:space="0" w:color="auto"/>
              <w:left w:val="single" w:sz="4" w:space="0" w:color="auto"/>
              <w:bottom w:val="single" w:sz="24" w:space="0" w:color="FFFFFF"/>
              <w:right w:val="single" w:sz="4" w:space="0" w:color="auto"/>
            </w:tcBorders>
            <w:shd w:val="clear" w:color="auto" w:fill="548DD4" w:themeFill="text2" w:themeFillTint="99"/>
            <w:tcMar>
              <w:top w:w="15" w:type="dxa"/>
              <w:left w:w="72" w:type="dxa"/>
              <w:bottom w:w="0" w:type="dxa"/>
              <w:right w:w="72" w:type="dxa"/>
            </w:tcMar>
            <w:vAlign w:val="bottom"/>
            <w:hideMark/>
          </w:tcPr>
          <w:p w14:paraId="1EDB33AA" w14:textId="77777777" w:rsidR="00C80A74" w:rsidRPr="00F91623" w:rsidRDefault="00C80A74" w:rsidP="00651037">
            <w:pPr>
              <w:spacing w:before="100" w:beforeAutospacing="1" w:after="100" w:afterAutospacing="1"/>
              <w:rPr>
                <w:rFonts w:asciiTheme="minorHAnsi" w:hAnsiTheme="minorHAnsi" w:cstheme="minorHAnsi"/>
                <w:b/>
                <w:noProof/>
                <w:lang w:eastAsia="en-GB"/>
              </w:rPr>
            </w:pPr>
            <w:r w:rsidRPr="00F91623">
              <w:rPr>
                <w:rFonts w:asciiTheme="minorHAnsi" w:hAnsiTheme="minorHAnsi" w:cstheme="minorHAnsi"/>
                <w:b/>
                <w:bCs/>
                <w:noProof/>
                <w:lang w:eastAsia="en-GB"/>
              </w:rPr>
              <w:t>Related size category</w:t>
            </w:r>
          </w:p>
        </w:tc>
      </w:tr>
      <w:tr w:rsidR="00C80A74" w:rsidRPr="00F91623" w14:paraId="267F93C7" w14:textId="77777777" w:rsidTr="00651037">
        <w:trPr>
          <w:trHeight w:val="336"/>
        </w:trPr>
        <w:tc>
          <w:tcPr>
            <w:tcW w:w="1227" w:type="pct"/>
            <w:tcBorders>
              <w:top w:val="single" w:sz="24"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4388B83D"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A1. Bottle</w:t>
            </w:r>
          </w:p>
        </w:tc>
        <w:tc>
          <w:tcPr>
            <w:tcW w:w="951" w:type="pct"/>
            <w:tcBorders>
              <w:top w:val="single" w:sz="24"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6F10CDE8"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B1. Cans (food)</w:t>
            </w:r>
          </w:p>
        </w:tc>
        <w:tc>
          <w:tcPr>
            <w:tcW w:w="1160" w:type="pct"/>
            <w:tcBorders>
              <w:top w:val="single" w:sz="24"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2B81DA3"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c>
          <w:tcPr>
            <w:tcW w:w="1661" w:type="pct"/>
            <w:tcBorders>
              <w:top w:val="single" w:sz="24"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1C55E6AF"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A: &lt;5*5 cm= 25 cm</w:t>
            </w:r>
            <w:r w:rsidRPr="00F91623">
              <w:rPr>
                <w:rFonts w:asciiTheme="minorHAnsi" w:hAnsiTheme="minorHAnsi" w:cstheme="minorHAnsi"/>
                <w:noProof/>
                <w:vertAlign w:val="superscript"/>
                <w:lang w:eastAsia="en-GB"/>
              </w:rPr>
              <w:t>2</w:t>
            </w:r>
            <w:r w:rsidRPr="00F91623">
              <w:rPr>
                <w:rFonts w:asciiTheme="minorHAnsi" w:hAnsiTheme="minorHAnsi" w:cstheme="minorHAnsi"/>
                <w:noProof/>
                <w:lang w:eastAsia="en-GB"/>
              </w:rPr>
              <w:t xml:space="preserve"> </w:t>
            </w:r>
          </w:p>
        </w:tc>
      </w:tr>
      <w:tr w:rsidR="00C80A74" w:rsidRPr="00F91623" w14:paraId="6366AB3D"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75508B9"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A2. Sheet</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643C42FF"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B2. Cans (beverage)</w:t>
            </w: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6E32DC4"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45F9F15"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B: &lt;10*10 cm= 100 cm</w:t>
            </w:r>
            <w:r w:rsidRPr="00F91623">
              <w:rPr>
                <w:rFonts w:asciiTheme="minorHAnsi" w:hAnsiTheme="minorHAnsi" w:cstheme="minorHAnsi"/>
                <w:noProof/>
                <w:vertAlign w:val="superscript"/>
                <w:lang w:eastAsia="en-GB"/>
              </w:rPr>
              <w:t>2</w:t>
            </w:r>
            <w:r w:rsidRPr="00F91623">
              <w:rPr>
                <w:rFonts w:asciiTheme="minorHAnsi" w:hAnsiTheme="minorHAnsi" w:cstheme="minorHAnsi"/>
                <w:noProof/>
                <w:lang w:eastAsia="en-GB"/>
              </w:rPr>
              <w:t xml:space="preserve"> </w:t>
            </w:r>
          </w:p>
        </w:tc>
      </w:tr>
      <w:tr w:rsidR="00C80A74" w:rsidRPr="00F91623" w14:paraId="424F82FE"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4C42F5B"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A3. Bag</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25599AFD"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B3. Fishing related</w:t>
            </w: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99BA928"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63B56E26"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C: &lt;20*20 cm= 400 cm</w:t>
            </w:r>
            <w:r w:rsidRPr="00F91623">
              <w:rPr>
                <w:rFonts w:asciiTheme="minorHAnsi" w:hAnsiTheme="minorHAnsi" w:cstheme="minorHAnsi"/>
                <w:noProof/>
                <w:vertAlign w:val="superscript"/>
                <w:lang w:eastAsia="en-GB"/>
              </w:rPr>
              <w:t>2</w:t>
            </w:r>
            <w:r w:rsidRPr="00F91623">
              <w:rPr>
                <w:rFonts w:asciiTheme="minorHAnsi" w:hAnsiTheme="minorHAnsi" w:cstheme="minorHAnsi"/>
                <w:noProof/>
                <w:lang w:eastAsia="en-GB"/>
              </w:rPr>
              <w:t xml:space="preserve"> </w:t>
            </w:r>
          </w:p>
        </w:tc>
      </w:tr>
      <w:tr w:rsidR="00C80A74" w:rsidRPr="00F91623" w14:paraId="2CC944F7"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F612648"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A4. Caps/ lids</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4D069A75"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B4. Drums</w:t>
            </w: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11604F8D"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36D88DEB"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D: &lt;50*50 cm= 2500 cm</w:t>
            </w:r>
            <w:r w:rsidRPr="00F91623">
              <w:rPr>
                <w:rFonts w:asciiTheme="minorHAnsi" w:hAnsiTheme="minorHAnsi" w:cstheme="minorHAnsi"/>
                <w:noProof/>
                <w:vertAlign w:val="superscript"/>
                <w:lang w:eastAsia="en-GB"/>
              </w:rPr>
              <w:t>2</w:t>
            </w:r>
            <w:r w:rsidRPr="00F91623">
              <w:rPr>
                <w:rFonts w:asciiTheme="minorHAnsi" w:hAnsiTheme="minorHAnsi" w:cstheme="minorHAnsi"/>
                <w:noProof/>
                <w:lang w:eastAsia="en-GB"/>
              </w:rPr>
              <w:t xml:space="preserve"> </w:t>
            </w:r>
          </w:p>
        </w:tc>
      </w:tr>
      <w:tr w:rsidR="00C80A74" w:rsidRPr="00F91623" w14:paraId="00F3058D" w14:textId="77777777" w:rsidTr="00651037">
        <w:trPr>
          <w:trHeight w:val="672"/>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40679458"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A5. Fishing line (monofilament)</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60B2BAED"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B5. appliances</w:t>
            </w: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43B9F076"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4F4ABAF4"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E: &lt;100*100 cm= 10000 cm</w:t>
            </w:r>
            <w:r w:rsidRPr="00F91623">
              <w:rPr>
                <w:rFonts w:asciiTheme="minorHAnsi" w:hAnsiTheme="minorHAnsi" w:cstheme="minorHAnsi"/>
                <w:noProof/>
                <w:vertAlign w:val="superscript"/>
                <w:lang w:eastAsia="en-GB"/>
              </w:rPr>
              <w:t>2</w:t>
            </w:r>
            <w:r w:rsidRPr="00F91623">
              <w:rPr>
                <w:rFonts w:asciiTheme="minorHAnsi" w:hAnsiTheme="minorHAnsi" w:cstheme="minorHAnsi"/>
                <w:noProof/>
                <w:lang w:eastAsia="en-GB"/>
              </w:rPr>
              <w:t>= 1 m</w:t>
            </w:r>
            <w:r w:rsidRPr="00F91623">
              <w:rPr>
                <w:rFonts w:asciiTheme="minorHAnsi" w:hAnsiTheme="minorHAnsi" w:cstheme="minorHAnsi"/>
                <w:noProof/>
                <w:vertAlign w:val="superscript"/>
                <w:lang w:eastAsia="en-GB"/>
              </w:rPr>
              <w:t>2</w:t>
            </w:r>
            <w:r w:rsidRPr="00F91623">
              <w:rPr>
                <w:rFonts w:asciiTheme="minorHAnsi" w:hAnsiTheme="minorHAnsi" w:cstheme="minorHAnsi"/>
                <w:noProof/>
                <w:lang w:eastAsia="en-GB"/>
              </w:rPr>
              <w:t xml:space="preserve"> </w:t>
            </w:r>
          </w:p>
        </w:tc>
      </w:tr>
      <w:tr w:rsidR="00C80A74" w:rsidRPr="00F91623" w14:paraId="5DE394B5" w14:textId="77777777" w:rsidTr="00651037">
        <w:trPr>
          <w:trHeight w:val="672"/>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6289CB6"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A6. Fishing line (entangled)</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5F10A538"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B6. car parts</w:t>
            </w: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1C9F360B"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22E8F3F4"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F: &gt;100*100 cm = 10000 cm2= 1 m2</w:t>
            </w:r>
          </w:p>
        </w:tc>
      </w:tr>
      <w:tr w:rsidR="00C80A74" w:rsidRPr="00F91623" w14:paraId="30F9A5B2"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ECCBF03"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A7. Synthetic rope</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FC8DF70"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B7. cables</w:t>
            </w: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28307D38"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6740834A"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r w:rsidR="00C80A74" w:rsidRPr="00F91623" w14:paraId="3AD76BBE"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4566225"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A8. Fishing net</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31002665"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B8. other</w:t>
            </w: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6DCDBB64"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89AEF35"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r w:rsidR="00C80A74" w:rsidRPr="00F91623" w14:paraId="1D39B9FD"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54D274B"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A9. Cable ties</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2BE96F32"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355B89E3"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13C59033"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r w:rsidR="00C80A74" w:rsidRPr="00F91623" w14:paraId="14A9F37B"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4AA0E0FF"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A10. Strapping band</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18E4786C"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FEC7C49"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E68C712"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r w:rsidR="00C80A74" w:rsidRPr="00F91623" w14:paraId="4B7D97B8"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56EE6569"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A11. crates and containers</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12B56209"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537EB488"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3EE0A743"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r w:rsidR="00C80A74" w:rsidRPr="00F91623" w14:paraId="328D15ED"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2C325AA4"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A12. diapers</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22CC1587"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A62AE9E"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6D19D52"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r w:rsidR="00C80A74" w:rsidRPr="00F91623" w14:paraId="5C395167" w14:textId="77777777" w:rsidTr="00651037">
        <w:trPr>
          <w:trHeight w:val="672"/>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698EF558"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A13. sanitary towel/tampon</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2C671F6A"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B2CF54F"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56CB9C55"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r w:rsidR="00C80A74" w:rsidRPr="00F91623" w14:paraId="4AB91303"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1DF4C52C"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A14. other</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523CD9E9"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380B0F1"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B10B33D"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r w:rsidR="00C80A74" w:rsidRPr="00F91623" w14:paraId="33047583"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391B2A7D"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 </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6239D36D"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5F70EA84"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9E1B5B4"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r w:rsidR="00C80A74" w:rsidRPr="00F91623" w14:paraId="3CC75BFC"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548DD4" w:themeFill="text2" w:themeFillTint="99"/>
            <w:tcMar>
              <w:top w:w="15" w:type="dxa"/>
              <w:left w:w="72" w:type="dxa"/>
              <w:bottom w:w="0" w:type="dxa"/>
              <w:right w:w="72" w:type="dxa"/>
            </w:tcMar>
            <w:vAlign w:val="bottom"/>
            <w:hideMark/>
          </w:tcPr>
          <w:p w14:paraId="4D1CE221" w14:textId="77777777" w:rsidR="00C80A74" w:rsidRPr="00F91623" w:rsidRDefault="00C80A74" w:rsidP="00651037">
            <w:pPr>
              <w:spacing w:before="100" w:beforeAutospacing="1" w:after="100" w:afterAutospacing="1"/>
              <w:rPr>
                <w:rFonts w:asciiTheme="minorHAnsi" w:hAnsiTheme="minorHAnsi" w:cstheme="minorHAnsi"/>
                <w:b/>
                <w:noProof/>
                <w:lang w:eastAsia="en-GB"/>
              </w:rPr>
            </w:pPr>
            <w:r w:rsidRPr="00F91623">
              <w:rPr>
                <w:rFonts w:asciiTheme="minorHAnsi" w:hAnsiTheme="minorHAnsi" w:cstheme="minorHAnsi"/>
                <w:b/>
                <w:bCs/>
                <w:noProof/>
                <w:lang w:eastAsia="en-GB"/>
              </w:rPr>
              <w:t>C: Rubber</w:t>
            </w:r>
          </w:p>
        </w:tc>
        <w:tc>
          <w:tcPr>
            <w:tcW w:w="951" w:type="pct"/>
            <w:tcBorders>
              <w:top w:val="single" w:sz="8" w:space="0" w:color="FFFFFF"/>
              <w:left w:val="single" w:sz="4" w:space="0" w:color="auto"/>
              <w:bottom w:val="single" w:sz="8" w:space="0" w:color="FFFFFF"/>
              <w:right w:val="single" w:sz="4" w:space="0" w:color="auto"/>
            </w:tcBorders>
            <w:shd w:val="clear" w:color="auto" w:fill="548DD4" w:themeFill="text2" w:themeFillTint="99"/>
            <w:tcMar>
              <w:top w:w="15" w:type="dxa"/>
              <w:left w:w="72" w:type="dxa"/>
              <w:bottom w:w="0" w:type="dxa"/>
              <w:right w:w="72" w:type="dxa"/>
            </w:tcMar>
            <w:vAlign w:val="bottom"/>
            <w:hideMark/>
          </w:tcPr>
          <w:p w14:paraId="681BE706" w14:textId="77777777" w:rsidR="00C80A74" w:rsidRPr="00F91623" w:rsidRDefault="00C80A74" w:rsidP="00651037">
            <w:pPr>
              <w:spacing w:before="100" w:beforeAutospacing="1" w:after="100" w:afterAutospacing="1"/>
              <w:rPr>
                <w:rFonts w:asciiTheme="minorHAnsi" w:hAnsiTheme="minorHAnsi" w:cstheme="minorHAnsi"/>
                <w:b/>
                <w:noProof/>
                <w:lang w:eastAsia="en-GB"/>
              </w:rPr>
            </w:pPr>
            <w:r w:rsidRPr="00F91623">
              <w:rPr>
                <w:rFonts w:asciiTheme="minorHAnsi" w:hAnsiTheme="minorHAnsi" w:cstheme="minorHAnsi"/>
                <w:b/>
                <w:noProof/>
                <w:lang w:eastAsia="en-GB"/>
              </w:rPr>
              <w:t>D: Glass/ Ceramics</w:t>
            </w:r>
          </w:p>
        </w:tc>
        <w:tc>
          <w:tcPr>
            <w:tcW w:w="1160" w:type="pct"/>
            <w:tcBorders>
              <w:top w:val="single" w:sz="8" w:space="0" w:color="FFFFFF"/>
              <w:left w:val="single" w:sz="4" w:space="0" w:color="auto"/>
              <w:bottom w:val="single" w:sz="8" w:space="0" w:color="FFFFFF"/>
              <w:right w:val="single" w:sz="4" w:space="0" w:color="auto"/>
            </w:tcBorders>
            <w:shd w:val="clear" w:color="auto" w:fill="548DD4" w:themeFill="text2" w:themeFillTint="99"/>
            <w:tcMar>
              <w:top w:w="15" w:type="dxa"/>
              <w:left w:w="72" w:type="dxa"/>
              <w:bottom w:w="0" w:type="dxa"/>
              <w:right w:w="72" w:type="dxa"/>
            </w:tcMar>
            <w:vAlign w:val="bottom"/>
            <w:hideMark/>
          </w:tcPr>
          <w:p w14:paraId="117AC59F" w14:textId="77777777" w:rsidR="00C80A74" w:rsidRPr="00F91623" w:rsidRDefault="00C80A74" w:rsidP="00651037">
            <w:pPr>
              <w:spacing w:before="100" w:beforeAutospacing="1" w:after="100" w:afterAutospacing="1"/>
              <w:rPr>
                <w:rFonts w:asciiTheme="minorHAnsi" w:hAnsiTheme="minorHAnsi" w:cstheme="minorHAnsi"/>
                <w:b/>
                <w:noProof/>
                <w:lang w:eastAsia="en-GB"/>
              </w:rPr>
            </w:pPr>
            <w:r w:rsidRPr="00F91623">
              <w:rPr>
                <w:rFonts w:asciiTheme="minorHAnsi" w:hAnsiTheme="minorHAnsi" w:cstheme="minorHAnsi"/>
                <w:b/>
                <w:noProof/>
                <w:lang w:eastAsia="en-GB"/>
              </w:rPr>
              <w:t>E: Natural products</w:t>
            </w:r>
          </w:p>
        </w:tc>
        <w:tc>
          <w:tcPr>
            <w:tcW w:w="1661" w:type="pct"/>
            <w:tcBorders>
              <w:top w:val="single" w:sz="8" w:space="0" w:color="FFFFFF"/>
              <w:left w:val="single" w:sz="4" w:space="0" w:color="auto"/>
              <w:bottom w:val="single" w:sz="8" w:space="0" w:color="FFFFFF"/>
              <w:right w:val="single" w:sz="4" w:space="0" w:color="auto"/>
            </w:tcBorders>
            <w:shd w:val="clear" w:color="auto" w:fill="548DD4" w:themeFill="text2" w:themeFillTint="99"/>
            <w:tcMar>
              <w:top w:w="15" w:type="dxa"/>
              <w:left w:w="72" w:type="dxa"/>
              <w:bottom w:w="0" w:type="dxa"/>
              <w:right w:w="72" w:type="dxa"/>
            </w:tcMar>
            <w:vAlign w:val="bottom"/>
            <w:hideMark/>
          </w:tcPr>
          <w:p w14:paraId="2DFC2294" w14:textId="77777777" w:rsidR="00C80A74" w:rsidRPr="00F91623" w:rsidRDefault="00C80A74" w:rsidP="00651037">
            <w:pPr>
              <w:spacing w:before="100" w:beforeAutospacing="1" w:after="100" w:afterAutospacing="1"/>
              <w:rPr>
                <w:rFonts w:asciiTheme="minorHAnsi" w:hAnsiTheme="minorHAnsi" w:cstheme="minorHAnsi"/>
                <w:b/>
                <w:noProof/>
                <w:lang w:eastAsia="en-GB"/>
              </w:rPr>
            </w:pPr>
            <w:r w:rsidRPr="00F91623">
              <w:rPr>
                <w:rFonts w:asciiTheme="minorHAnsi" w:hAnsiTheme="minorHAnsi" w:cstheme="minorHAnsi"/>
                <w:b/>
                <w:noProof/>
                <w:lang w:eastAsia="en-GB"/>
              </w:rPr>
              <w:t>F: Miscellaneous</w:t>
            </w:r>
          </w:p>
        </w:tc>
      </w:tr>
      <w:tr w:rsidR="00C80A74" w:rsidRPr="00F91623" w14:paraId="0A038B85"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4720B2AE"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lastRenderedPageBreak/>
              <w:t>C1. Boots</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4C7398C6"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D1. Jar</w:t>
            </w: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9B8BC6C"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E1. Wood (processed)</w:t>
            </w: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F214292"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F1. Clothing/ rags</w:t>
            </w:r>
          </w:p>
        </w:tc>
      </w:tr>
      <w:tr w:rsidR="00C80A74" w:rsidRPr="00F91623" w14:paraId="510D6F43"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450C34CC"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C2. Balloons</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0525AE4"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D2. Bottle</w:t>
            </w: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2759C11"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E2. Rope</w:t>
            </w: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24F11DB5"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xml:space="preserve">F2. Shoes </w:t>
            </w:r>
          </w:p>
        </w:tc>
      </w:tr>
      <w:tr w:rsidR="00C80A74" w:rsidRPr="00F91623" w14:paraId="37060DDD"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B723443"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C3. bobbins (fishing)</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374B966D"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D3. piece</w:t>
            </w: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69D6B441"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xml:space="preserve">E3. Paper/ cardboard </w:t>
            </w: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6CCE0797"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F3. other</w:t>
            </w:r>
          </w:p>
        </w:tc>
      </w:tr>
      <w:tr w:rsidR="00C80A74" w:rsidRPr="00F91623" w14:paraId="1EA46F99"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7E4EA13C"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C4. tyre</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298C85B7"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D4. other</w:t>
            </w: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EF28E2E"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E4. pallets</w:t>
            </w: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A45463E"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r w:rsidR="00C80A74" w:rsidRPr="00F91623" w14:paraId="76107C83" w14:textId="77777777" w:rsidTr="00651037">
        <w:trPr>
          <w:trHeight w:val="336"/>
        </w:trPr>
        <w:tc>
          <w:tcPr>
            <w:tcW w:w="1227"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255A0777"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C5. Glove</w:t>
            </w:r>
          </w:p>
        </w:tc>
        <w:tc>
          <w:tcPr>
            <w:tcW w:w="95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9DD33A1" w14:textId="77777777" w:rsidR="00C80A74" w:rsidRPr="00F91623" w:rsidRDefault="00C80A74" w:rsidP="00651037">
            <w:pPr>
              <w:spacing w:before="100" w:beforeAutospacing="1" w:after="100" w:afterAutospacing="1"/>
              <w:rPr>
                <w:rFonts w:asciiTheme="minorHAnsi" w:hAnsiTheme="minorHAnsi" w:cstheme="minorHAnsi"/>
                <w:noProof/>
                <w:lang w:eastAsia="en-GB"/>
              </w:rPr>
            </w:pPr>
          </w:p>
        </w:tc>
        <w:tc>
          <w:tcPr>
            <w:tcW w:w="1160"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6126156"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E5. other</w:t>
            </w:r>
          </w:p>
        </w:tc>
        <w:tc>
          <w:tcPr>
            <w:tcW w:w="1661" w:type="pct"/>
            <w:tcBorders>
              <w:top w:val="single" w:sz="8" w:space="0" w:color="FFFFFF"/>
              <w:left w:val="single" w:sz="4" w:space="0" w:color="auto"/>
              <w:bottom w:val="single" w:sz="8" w:space="0" w:color="FFFFFF"/>
              <w:right w:val="single" w:sz="4" w:space="0" w:color="auto"/>
            </w:tcBorders>
            <w:shd w:val="clear" w:color="auto" w:fill="auto"/>
            <w:tcMar>
              <w:top w:w="15" w:type="dxa"/>
              <w:left w:w="72" w:type="dxa"/>
              <w:bottom w:w="0" w:type="dxa"/>
              <w:right w:w="72" w:type="dxa"/>
            </w:tcMar>
            <w:vAlign w:val="bottom"/>
            <w:hideMark/>
          </w:tcPr>
          <w:p w14:paraId="0A2CDC6A"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r w:rsidR="00C80A74" w:rsidRPr="00F91623" w14:paraId="6BCB0139" w14:textId="77777777" w:rsidTr="00651037">
        <w:trPr>
          <w:trHeight w:val="336"/>
        </w:trPr>
        <w:tc>
          <w:tcPr>
            <w:tcW w:w="1227" w:type="pct"/>
            <w:tcBorders>
              <w:top w:val="single" w:sz="8" w:space="0" w:color="FFFFFF"/>
              <w:left w:val="single" w:sz="4" w:space="0" w:color="auto"/>
              <w:bottom w:val="single" w:sz="4" w:space="0" w:color="auto"/>
              <w:right w:val="single" w:sz="4" w:space="0" w:color="auto"/>
            </w:tcBorders>
            <w:shd w:val="clear" w:color="auto" w:fill="auto"/>
            <w:tcMar>
              <w:top w:w="15" w:type="dxa"/>
              <w:left w:w="72" w:type="dxa"/>
              <w:bottom w:w="0" w:type="dxa"/>
              <w:right w:w="72" w:type="dxa"/>
            </w:tcMar>
            <w:vAlign w:val="bottom"/>
            <w:hideMark/>
          </w:tcPr>
          <w:p w14:paraId="71859BA8"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bCs/>
                <w:noProof/>
                <w:lang w:eastAsia="en-GB"/>
              </w:rPr>
              <w:t>C6. other</w:t>
            </w:r>
          </w:p>
        </w:tc>
        <w:tc>
          <w:tcPr>
            <w:tcW w:w="951" w:type="pct"/>
            <w:tcBorders>
              <w:top w:val="single" w:sz="8" w:space="0" w:color="FFFFFF"/>
              <w:left w:val="single" w:sz="4" w:space="0" w:color="auto"/>
              <w:bottom w:val="single" w:sz="4" w:space="0" w:color="auto"/>
              <w:right w:val="single" w:sz="4" w:space="0" w:color="auto"/>
            </w:tcBorders>
            <w:shd w:val="clear" w:color="auto" w:fill="auto"/>
            <w:tcMar>
              <w:top w:w="15" w:type="dxa"/>
              <w:left w:w="72" w:type="dxa"/>
              <w:bottom w:w="0" w:type="dxa"/>
              <w:right w:w="72" w:type="dxa"/>
            </w:tcMar>
            <w:vAlign w:val="bottom"/>
            <w:hideMark/>
          </w:tcPr>
          <w:p w14:paraId="2DB175CB"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c>
          <w:tcPr>
            <w:tcW w:w="1160" w:type="pct"/>
            <w:tcBorders>
              <w:top w:val="single" w:sz="8" w:space="0" w:color="FFFFFF"/>
              <w:left w:val="single" w:sz="4" w:space="0" w:color="auto"/>
              <w:bottom w:val="single" w:sz="4" w:space="0" w:color="auto"/>
              <w:right w:val="single" w:sz="4" w:space="0" w:color="auto"/>
            </w:tcBorders>
            <w:shd w:val="clear" w:color="auto" w:fill="auto"/>
            <w:tcMar>
              <w:top w:w="15" w:type="dxa"/>
              <w:left w:w="72" w:type="dxa"/>
              <w:bottom w:w="0" w:type="dxa"/>
              <w:right w:w="72" w:type="dxa"/>
            </w:tcMar>
            <w:vAlign w:val="bottom"/>
            <w:hideMark/>
          </w:tcPr>
          <w:p w14:paraId="0C00A6AB"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c>
          <w:tcPr>
            <w:tcW w:w="1661" w:type="pct"/>
            <w:tcBorders>
              <w:top w:val="single" w:sz="8" w:space="0" w:color="FFFFFF"/>
              <w:left w:val="single" w:sz="4" w:space="0" w:color="auto"/>
              <w:bottom w:val="single" w:sz="4" w:space="0" w:color="auto"/>
              <w:right w:val="single" w:sz="4" w:space="0" w:color="auto"/>
            </w:tcBorders>
            <w:shd w:val="clear" w:color="auto" w:fill="auto"/>
            <w:tcMar>
              <w:top w:w="15" w:type="dxa"/>
              <w:left w:w="72" w:type="dxa"/>
              <w:bottom w:w="0" w:type="dxa"/>
              <w:right w:w="72" w:type="dxa"/>
            </w:tcMar>
            <w:vAlign w:val="bottom"/>
            <w:hideMark/>
          </w:tcPr>
          <w:p w14:paraId="1006B143" w14:textId="77777777" w:rsidR="00C80A74" w:rsidRPr="00F91623" w:rsidRDefault="00C80A74" w:rsidP="00651037">
            <w:pPr>
              <w:spacing w:before="100" w:beforeAutospacing="1" w:after="100" w:afterAutospacing="1"/>
              <w:rPr>
                <w:rFonts w:asciiTheme="minorHAnsi" w:hAnsiTheme="minorHAnsi" w:cstheme="minorHAnsi"/>
                <w:noProof/>
                <w:lang w:eastAsia="en-GB"/>
              </w:rPr>
            </w:pPr>
            <w:r w:rsidRPr="00F91623">
              <w:rPr>
                <w:rFonts w:asciiTheme="minorHAnsi" w:hAnsiTheme="minorHAnsi" w:cstheme="minorHAnsi"/>
                <w:noProof/>
                <w:lang w:eastAsia="en-GB"/>
              </w:rPr>
              <w:t> </w:t>
            </w:r>
          </w:p>
        </w:tc>
      </w:tr>
    </w:tbl>
    <w:p w14:paraId="65FAD626" w14:textId="77777777" w:rsidR="00C80A74" w:rsidRPr="00F91623" w:rsidRDefault="00C80A74" w:rsidP="00C80A74">
      <w:pPr>
        <w:spacing w:before="100" w:beforeAutospacing="1" w:after="100" w:afterAutospacing="1"/>
        <w:rPr>
          <w:rFonts w:asciiTheme="minorHAnsi" w:hAnsiTheme="minorHAnsi" w:cstheme="minorHAnsi"/>
          <w:noProof/>
          <w:lang w:eastAsia="en-GB"/>
        </w:rPr>
      </w:pPr>
    </w:p>
    <w:p w14:paraId="62F665F7" w14:textId="77777777" w:rsidR="00C80A74" w:rsidRPr="00F91623" w:rsidRDefault="00C80A74" w:rsidP="00C80A74">
      <w:pPr>
        <w:autoSpaceDE w:val="0"/>
        <w:autoSpaceDN w:val="0"/>
        <w:adjustRightInd w:val="0"/>
        <w:spacing w:before="100" w:beforeAutospacing="1" w:after="0" w:afterAutospacing="1"/>
        <w:rPr>
          <w:rFonts w:asciiTheme="minorHAnsi" w:hAnsiTheme="minorHAnsi" w:cstheme="minorHAnsi"/>
          <w:sz w:val="24"/>
          <w:szCs w:val="24"/>
        </w:rPr>
      </w:pPr>
      <w:r w:rsidRPr="00F91623">
        <w:rPr>
          <w:rFonts w:asciiTheme="minorHAnsi" w:hAnsiTheme="minorHAnsi" w:cstheme="minorHAnsi"/>
          <w:sz w:val="24"/>
          <w:szCs w:val="24"/>
        </w:rPr>
        <w:t>Example of log sheet for station specifics and trawl conditions:</w:t>
      </w:r>
    </w:p>
    <w:tbl>
      <w:tblPr>
        <w:tblW w:w="9600" w:type="dxa"/>
        <w:tblInd w:w="98" w:type="dxa"/>
        <w:tblLook w:val="04A0" w:firstRow="1" w:lastRow="0" w:firstColumn="1" w:lastColumn="0" w:noHBand="0" w:noVBand="1"/>
      </w:tblPr>
      <w:tblGrid>
        <w:gridCol w:w="942"/>
        <w:gridCol w:w="955"/>
        <w:gridCol w:w="957"/>
        <w:gridCol w:w="997"/>
        <w:gridCol w:w="955"/>
        <w:gridCol w:w="949"/>
        <w:gridCol w:w="942"/>
        <w:gridCol w:w="954"/>
        <w:gridCol w:w="997"/>
        <w:gridCol w:w="952"/>
      </w:tblGrid>
      <w:tr w:rsidR="00C80A74" w:rsidRPr="00F91623" w14:paraId="6D15E39D" w14:textId="77777777" w:rsidTr="00651037">
        <w:trPr>
          <w:trHeight w:val="315"/>
        </w:trPr>
        <w:tc>
          <w:tcPr>
            <w:tcW w:w="94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14:paraId="21B29FBB"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xml:space="preserve">START </w:t>
            </w:r>
          </w:p>
        </w:tc>
        <w:tc>
          <w:tcPr>
            <w:tcW w:w="955" w:type="dxa"/>
            <w:tcBorders>
              <w:top w:val="single" w:sz="8" w:space="0" w:color="auto"/>
              <w:left w:val="nil"/>
              <w:bottom w:val="single" w:sz="8" w:space="0" w:color="auto"/>
              <w:right w:val="single" w:sz="8" w:space="0" w:color="auto"/>
            </w:tcBorders>
            <w:shd w:val="clear" w:color="auto" w:fill="auto"/>
            <w:hideMark/>
          </w:tcPr>
          <w:p w14:paraId="5CA68B18"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Trawl#</w:t>
            </w:r>
          </w:p>
        </w:tc>
        <w:tc>
          <w:tcPr>
            <w:tcW w:w="957" w:type="dxa"/>
            <w:tcBorders>
              <w:top w:val="single" w:sz="8" w:space="0" w:color="auto"/>
              <w:left w:val="nil"/>
              <w:bottom w:val="single" w:sz="8" w:space="0" w:color="auto"/>
              <w:right w:val="single" w:sz="8" w:space="0" w:color="auto"/>
            </w:tcBorders>
            <w:shd w:val="clear" w:color="auto" w:fill="auto"/>
            <w:hideMark/>
          </w:tcPr>
          <w:p w14:paraId="7C330077"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TIME start</w:t>
            </w:r>
          </w:p>
        </w:tc>
        <w:tc>
          <w:tcPr>
            <w:tcW w:w="2901" w:type="dxa"/>
            <w:gridSpan w:val="3"/>
            <w:tcBorders>
              <w:top w:val="single" w:sz="8" w:space="0" w:color="auto"/>
              <w:left w:val="nil"/>
              <w:bottom w:val="single" w:sz="8" w:space="0" w:color="auto"/>
              <w:right w:val="single" w:sz="8" w:space="0" w:color="000000"/>
            </w:tcBorders>
            <w:shd w:val="clear" w:color="auto" w:fill="auto"/>
            <w:hideMark/>
          </w:tcPr>
          <w:p w14:paraId="4BA5D2E3"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Lat(N) start</w:t>
            </w:r>
          </w:p>
        </w:tc>
        <w:tc>
          <w:tcPr>
            <w:tcW w:w="3845" w:type="dxa"/>
            <w:gridSpan w:val="4"/>
            <w:tcBorders>
              <w:top w:val="single" w:sz="8" w:space="0" w:color="auto"/>
              <w:left w:val="nil"/>
              <w:bottom w:val="single" w:sz="8" w:space="0" w:color="auto"/>
              <w:right w:val="single" w:sz="8" w:space="0" w:color="000000"/>
            </w:tcBorders>
            <w:shd w:val="clear" w:color="auto" w:fill="auto"/>
            <w:hideMark/>
          </w:tcPr>
          <w:p w14:paraId="33981978"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Long(W) start</w:t>
            </w:r>
          </w:p>
        </w:tc>
      </w:tr>
      <w:tr w:rsidR="00C80A74" w:rsidRPr="00F91623" w14:paraId="2AA8F69B" w14:textId="77777777" w:rsidTr="00651037">
        <w:trPr>
          <w:trHeight w:val="615"/>
        </w:trPr>
        <w:tc>
          <w:tcPr>
            <w:tcW w:w="942" w:type="dxa"/>
            <w:vMerge/>
            <w:tcBorders>
              <w:top w:val="single" w:sz="8" w:space="0" w:color="auto"/>
              <w:left w:val="single" w:sz="8" w:space="0" w:color="auto"/>
              <w:bottom w:val="single" w:sz="8" w:space="0" w:color="000000"/>
              <w:right w:val="single" w:sz="8" w:space="0" w:color="auto"/>
            </w:tcBorders>
            <w:vAlign w:val="center"/>
            <w:hideMark/>
          </w:tcPr>
          <w:p w14:paraId="7BC9E1C3" w14:textId="77777777" w:rsidR="00C80A74" w:rsidRPr="00F91623" w:rsidRDefault="00C80A74" w:rsidP="00651037">
            <w:pPr>
              <w:spacing w:after="0"/>
              <w:rPr>
                <w:rFonts w:asciiTheme="minorHAnsi" w:hAnsiTheme="minorHAnsi" w:cstheme="minorHAnsi"/>
                <w:b/>
                <w:bCs/>
                <w:sz w:val="18"/>
                <w:szCs w:val="18"/>
                <w:lang w:eastAsia="en-GB"/>
              </w:rPr>
            </w:pPr>
          </w:p>
        </w:tc>
        <w:tc>
          <w:tcPr>
            <w:tcW w:w="955" w:type="dxa"/>
            <w:tcBorders>
              <w:top w:val="nil"/>
              <w:left w:val="nil"/>
              <w:bottom w:val="single" w:sz="8" w:space="0" w:color="auto"/>
              <w:right w:val="single" w:sz="8" w:space="0" w:color="auto"/>
            </w:tcBorders>
            <w:shd w:val="clear" w:color="auto" w:fill="auto"/>
            <w:hideMark/>
          </w:tcPr>
          <w:p w14:paraId="0AE6ED0E"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957" w:type="dxa"/>
            <w:tcBorders>
              <w:top w:val="nil"/>
              <w:left w:val="nil"/>
              <w:bottom w:val="single" w:sz="8" w:space="0" w:color="auto"/>
              <w:right w:val="single" w:sz="8" w:space="0" w:color="auto"/>
            </w:tcBorders>
            <w:shd w:val="clear" w:color="auto" w:fill="auto"/>
            <w:hideMark/>
          </w:tcPr>
          <w:p w14:paraId="5820E543"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2901" w:type="dxa"/>
            <w:gridSpan w:val="3"/>
            <w:tcBorders>
              <w:top w:val="single" w:sz="8" w:space="0" w:color="auto"/>
              <w:left w:val="nil"/>
              <w:bottom w:val="single" w:sz="8" w:space="0" w:color="auto"/>
              <w:right w:val="single" w:sz="8" w:space="0" w:color="000000"/>
            </w:tcBorders>
            <w:shd w:val="clear" w:color="auto" w:fill="auto"/>
            <w:hideMark/>
          </w:tcPr>
          <w:p w14:paraId="01081781"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3845" w:type="dxa"/>
            <w:gridSpan w:val="4"/>
            <w:tcBorders>
              <w:top w:val="single" w:sz="8" w:space="0" w:color="auto"/>
              <w:left w:val="nil"/>
              <w:bottom w:val="single" w:sz="8" w:space="0" w:color="auto"/>
              <w:right w:val="single" w:sz="8" w:space="0" w:color="000000"/>
            </w:tcBorders>
            <w:shd w:val="clear" w:color="auto" w:fill="auto"/>
            <w:hideMark/>
          </w:tcPr>
          <w:p w14:paraId="2E7A7360"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r>
      <w:tr w:rsidR="00C80A74" w:rsidRPr="00F91623" w14:paraId="318F4829" w14:textId="77777777" w:rsidTr="00651037">
        <w:trPr>
          <w:trHeight w:val="315"/>
        </w:trPr>
        <w:tc>
          <w:tcPr>
            <w:tcW w:w="942" w:type="dxa"/>
            <w:vMerge w:val="restart"/>
            <w:tcBorders>
              <w:top w:val="nil"/>
              <w:left w:val="single" w:sz="8" w:space="0" w:color="auto"/>
              <w:bottom w:val="single" w:sz="8" w:space="0" w:color="000000"/>
              <w:right w:val="single" w:sz="8" w:space="0" w:color="auto"/>
            </w:tcBorders>
            <w:shd w:val="clear" w:color="auto" w:fill="auto"/>
            <w:textDirection w:val="btLr"/>
            <w:hideMark/>
          </w:tcPr>
          <w:p w14:paraId="2F09574A"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xml:space="preserve">STOP </w:t>
            </w:r>
          </w:p>
        </w:tc>
        <w:tc>
          <w:tcPr>
            <w:tcW w:w="955" w:type="dxa"/>
            <w:tcBorders>
              <w:top w:val="nil"/>
              <w:left w:val="nil"/>
              <w:bottom w:val="single" w:sz="8" w:space="0" w:color="auto"/>
              <w:right w:val="single" w:sz="8" w:space="0" w:color="auto"/>
            </w:tcBorders>
            <w:shd w:val="clear" w:color="auto" w:fill="auto"/>
            <w:hideMark/>
          </w:tcPr>
          <w:p w14:paraId="14666BD8"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Date</w:t>
            </w:r>
          </w:p>
        </w:tc>
        <w:tc>
          <w:tcPr>
            <w:tcW w:w="957" w:type="dxa"/>
            <w:tcBorders>
              <w:top w:val="nil"/>
              <w:left w:val="nil"/>
              <w:bottom w:val="single" w:sz="8" w:space="0" w:color="auto"/>
              <w:right w:val="single" w:sz="8" w:space="0" w:color="auto"/>
            </w:tcBorders>
            <w:shd w:val="clear" w:color="auto" w:fill="auto"/>
            <w:hideMark/>
          </w:tcPr>
          <w:p w14:paraId="3843F0E8"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TIME end</w:t>
            </w:r>
          </w:p>
        </w:tc>
        <w:tc>
          <w:tcPr>
            <w:tcW w:w="2901" w:type="dxa"/>
            <w:gridSpan w:val="3"/>
            <w:tcBorders>
              <w:top w:val="single" w:sz="8" w:space="0" w:color="auto"/>
              <w:left w:val="nil"/>
              <w:bottom w:val="single" w:sz="8" w:space="0" w:color="auto"/>
              <w:right w:val="single" w:sz="8" w:space="0" w:color="000000"/>
            </w:tcBorders>
            <w:shd w:val="clear" w:color="auto" w:fill="auto"/>
            <w:hideMark/>
          </w:tcPr>
          <w:p w14:paraId="217DD5A7"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Lat(N) end</w:t>
            </w:r>
          </w:p>
        </w:tc>
        <w:tc>
          <w:tcPr>
            <w:tcW w:w="3845" w:type="dxa"/>
            <w:gridSpan w:val="4"/>
            <w:tcBorders>
              <w:top w:val="single" w:sz="8" w:space="0" w:color="auto"/>
              <w:left w:val="nil"/>
              <w:bottom w:val="single" w:sz="8" w:space="0" w:color="auto"/>
              <w:right w:val="single" w:sz="8" w:space="0" w:color="000000"/>
            </w:tcBorders>
            <w:shd w:val="clear" w:color="auto" w:fill="auto"/>
            <w:hideMark/>
          </w:tcPr>
          <w:p w14:paraId="737A2FF9"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Long(W) end</w:t>
            </w:r>
          </w:p>
        </w:tc>
      </w:tr>
      <w:tr w:rsidR="00C80A74" w:rsidRPr="00F91623" w14:paraId="03DA9B11" w14:textId="77777777" w:rsidTr="00651037">
        <w:trPr>
          <w:trHeight w:val="555"/>
        </w:trPr>
        <w:tc>
          <w:tcPr>
            <w:tcW w:w="942" w:type="dxa"/>
            <w:vMerge/>
            <w:tcBorders>
              <w:top w:val="nil"/>
              <w:left w:val="single" w:sz="8" w:space="0" w:color="auto"/>
              <w:bottom w:val="single" w:sz="8" w:space="0" w:color="000000"/>
              <w:right w:val="single" w:sz="8" w:space="0" w:color="auto"/>
            </w:tcBorders>
            <w:vAlign w:val="center"/>
            <w:hideMark/>
          </w:tcPr>
          <w:p w14:paraId="60D02B87" w14:textId="77777777" w:rsidR="00C80A74" w:rsidRPr="00F91623" w:rsidRDefault="00C80A74" w:rsidP="00651037">
            <w:pPr>
              <w:spacing w:after="0"/>
              <w:rPr>
                <w:rFonts w:asciiTheme="minorHAnsi" w:hAnsiTheme="minorHAnsi" w:cstheme="minorHAnsi"/>
                <w:b/>
                <w:bCs/>
                <w:sz w:val="18"/>
                <w:szCs w:val="18"/>
                <w:lang w:eastAsia="en-GB"/>
              </w:rPr>
            </w:pPr>
          </w:p>
        </w:tc>
        <w:tc>
          <w:tcPr>
            <w:tcW w:w="955" w:type="dxa"/>
            <w:tcBorders>
              <w:top w:val="nil"/>
              <w:left w:val="nil"/>
              <w:bottom w:val="single" w:sz="8" w:space="0" w:color="auto"/>
              <w:right w:val="single" w:sz="8" w:space="0" w:color="auto"/>
            </w:tcBorders>
            <w:shd w:val="clear" w:color="auto" w:fill="auto"/>
            <w:hideMark/>
          </w:tcPr>
          <w:p w14:paraId="2D22C3B1"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957" w:type="dxa"/>
            <w:tcBorders>
              <w:top w:val="nil"/>
              <w:left w:val="nil"/>
              <w:bottom w:val="single" w:sz="8" w:space="0" w:color="auto"/>
              <w:right w:val="single" w:sz="8" w:space="0" w:color="auto"/>
            </w:tcBorders>
            <w:shd w:val="clear" w:color="auto" w:fill="auto"/>
            <w:hideMark/>
          </w:tcPr>
          <w:p w14:paraId="29BA3B7D"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2901" w:type="dxa"/>
            <w:gridSpan w:val="3"/>
            <w:tcBorders>
              <w:top w:val="single" w:sz="8" w:space="0" w:color="auto"/>
              <w:left w:val="nil"/>
              <w:bottom w:val="single" w:sz="8" w:space="0" w:color="auto"/>
              <w:right w:val="single" w:sz="8" w:space="0" w:color="000000"/>
            </w:tcBorders>
            <w:shd w:val="clear" w:color="auto" w:fill="auto"/>
            <w:hideMark/>
          </w:tcPr>
          <w:p w14:paraId="6888EA3F"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3845" w:type="dxa"/>
            <w:gridSpan w:val="4"/>
            <w:tcBorders>
              <w:top w:val="single" w:sz="8" w:space="0" w:color="auto"/>
              <w:left w:val="nil"/>
              <w:bottom w:val="single" w:sz="8" w:space="0" w:color="auto"/>
              <w:right w:val="single" w:sz="8" w:space="0" w:color="000000"/>
            </w:tcBorders>
            <w:shd w:val="clear" w:color="auto" w:fill="auto"/>
            <w:hideMark/>
          </w:tcPr>
          <w:p w14:paraId="678F69CC"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r>
      <w:tr w:rsidR="00C80A74" w:rsidRPr="00F91623" w14:paraId="4881C139" w14:textId="77777777" w:rsidTr="009844FB">
        <w:trPr>
          <w:trHeight w:val="645"/>
        </w:trPr>
        <w:tc>
          <w:tcPr>
            <w:tcW w:w="942" w:type="dxa"/>
            <w:vMerge w:val="restart"/>
            <w:tcBorders>
              <w:top w:val="nil"/>
              <w:left w:val="single" w:sz="8" w:space="0" w:color="auto"/>
              <w:bottom w:val="single" w:sz="8" w:space="0" w:color="000000"/>
              <w:right w:val="single" w:sz="8" w:space="0" w:color="auto"/>
            </w:tcBorders>
            <w:shd w:val="clear" w:color="auto" w:fill="auto"/>
            <w:textDirection w:val="btLr"/>
            <w:hideMark/>
          </w:tcPr>
          <w:p w14:paraId="747B9A7D"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SEA &amp; VESSEL CONDITIONS</w:t>
            </w:r>
          </w:p>
        </w:tc>
        <w:tc>
          <w:tcPr>
            <w:tcW w:w="955" w:type="dxa"/>
            <w:tcBorders>
              <w:top w:val="nil"/>
              <w:left w:val="nil"/>
              <w:bottom w:val="single" w:sz="8" w:space="0" w:color="auto"/>
              <w:right w:val="single" w:sz="8" w:space="0" w:color="auto"/>
            </w:tcBorders>
            <w:shd w:val="clear" w:color="auto" w:fill="auto"/>
            <w:hideMark/>
          </w:tcPr>
          <w:p w14:paraId="44E299E8"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Sea State</w:t>
            </w:r>
          </w:p>
        </w:tc>
        <w:tc>
          <w:tcPr>
            <w:tcW w:w="957" w:type="dxa"/>
            <w:tcBorders>
              <w:top w:val="nil"/>
              <w:left w:val="nil"/>
              <w:bottom w:val="single" w:sz="8" w:space="0" w:color="auto"/>
              <w:right w:val="single" w:sz="8" w:space="0" w:color="auto"/>
            </w:tcBorders>
            <w:shd w:val="clear" w:color="auto" w:fill="auto"/>
            <w:hideMark/>
          </w:tcPr>
          <w:p w14:paraId="443733B8"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Current Speed</w:t>
            </w:r>
          </w:p>
        </w:tc>
        <w:tc>
          <w:tcPr>
            <w:tcW w:w="997" w:type="dxa"/>
            <w:tcBorders>
              <w:top w:val="nil"/>
              <w:left w:val="nil"/>
              <w:bottom w:val="single" w:sz="8" w:space="0" w:color="auto"/>
              <w:right w:val="single" w:sz="8" w:space="0" w:color="auto"/>
            </w:tcBorders>
            <w:shd w:val="clear" w:color="auto" w:fill="auto"/>
            <w:hideMark/>
          </w:tcPr>
          <w:p w14:paraId="14C7FCE7"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Current Direction</w:t>
            </w:r>
          </w:p>
        </w:tc>
        <w:tc>
          <w:tcPr>
            <w:tcW w:w="955" w:type="dxa"/>
            <w:tcBorders>
              <w:top w:val="nil"/>
              <w:left w:val="nil"/>
              <w:bottom w:val="single" w:sz="8" w:space="0" w:color="auto"/>
              <w:right w:val="single" w:sz="8" w:space="0" w:color="auto"/>
            </w:tcBorders>
            <w:shd w:val="clear" w:color="auto" w:fill="auto"/>
            <w:hideMark/>
          </w:tcPr>
          <w:p w14:paraId="573DE256"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Vessel Speed</w:t>
            </w:r>
          </w:p>
        </w:tc>
        <w:tc>
          <w:tcPr>
            <w:tcW w:w="1891" w:type="dxa"/>
            <w:gridSpan w:val="2"/>
            <w:tcBorders>
              <w:top w:val="single" w:sz="8" w:space="0" w:color="auto"/>
              <w:left w:val="nil"/>
              <w:bottom w:val="single" w:sz="8" w:space="0" w:color="auto"/>
              <w:right w:val="single" w:sz="8" w:space="0" w:color="000000"/>
            </w:tcBorders>
            <w:shd w:val="clear" w:color="auto" w:fill="auto"/>
            <w:hideMark/>
          </w:tcPr>
          <w:p w14:paraId="7C20F4D3"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Vessel Direction</w:t>
            </w:r>
          </w:p>
        </w:tc>
        <w:tc>
          <w:tcPr>
            <w:tcW w:w="954" w:type="dxa"/>
            <w:tcBorders>
              <w:top w:val="nil"/>
              <w:left w:val="nil"/>
              <w:bottom w:val="single" w:sz="8" w:space="0" w:color="auto"/>
              <w:right w:val="single" w:sz="8" w:space="0" w:color="auto"/>
            </w:tcBorders>
            <w:shd w:val="clear" w:color="auto" w:fill="auto"/>
            <w:hideMark/>
          </w:tcPr>
          <w:p w14:paraId="175D3EF6"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Wind Speed</w:t>
            </w:r>
          </w:p>
        </w:tc>
        <w:tc>
          <w:tcPr>
            <w:tcW w:w="997" w:type="dxa"/>
            <w:tcBorders>
              <w:top w:val="nil"/>
              <w:left w:val="nil"/>
              <w:bottom w:val="single" w:sz="8" w:space="0" w:color="auto"/>
              <w:right w:val="single" w:sz="8" w:space="0" w:color="auto"/>
            </w:tcBorders>
            <w:shd w:val="clear" w:color="auto" w:fill="auto"/>
            <w:hideMark/>
          </w:tcPr>
          <w:p w14:paraId="6F452407"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Wind Direction</w:t>
            </w:r>
          </w:p>
        </w:tc>
        <w:tc>
          <w:tcPr>
            <w:tcW w:w="952" w:type="dxa"/>
            <w:tcBorders>
              <w:top w:val="nil"/>
              <w:left w:val="nil"/>
              <w:bottom w:val="single" w:sz="8" w:space="0" w:color="auto"/>
              <w:right w:val="single" w:sz="8" w:space="0" w:color="auto"/>
            </w:tcBorders>
            <w:shd w:val="clear" w:color="auto" w:fill="auto"/>
          </w:tcPr>
          <w:p w14:paraId="4A841761" w14:textId="63070A69" w:rsidR="00C80A74" w:rsidRPr="00F91623" w:rsidRDefault="00C80A74" w:rsidP="00651037">
            <w:pPr>
              <w:spacing w:after="0"/>
              <w:rPr>
                <w:rFonts w:asciiTheme="minorHAnsi" w:hAnsiTheme="minorHAnsi" w:cstheme="minorHAnsi"/>
                <w:b/>
                <w:bCs/>
                <w:sz w:val="18"/>
                <w:szCs w:val="18"/>
                <w:lang w:eastAsia="en-GB"/>
              </w:rPr>
            </w:pPr>
          </w:p>
        </w:tc>
      </w:tr>
      <w:tr w:rsidR="00C80A74" w:rsidRPr="00F91623" w14:paraId="5AE02780" w14:textId="77777777" w:rsidTr="009844FB">
        <w:trPr>
          <w:trHeight w:val="525"/>
        </w:trPr>
        <w:tc>
          <w:tcPr>
            <w:tcW w:w="942" w:type="dxa"/>
            <w:vMerge/>
            <w:tcBorders>
              <w:top w:val="nil"/>
              <w:left w:val="single" w:sz="8" w:space="0" w:color="auto"/>
              <w:bottom w:val="single" w:sz="8" w:space="0" w:color="000000"/>
              <w:right w:val="single" w:sz="8" w:space="0" w:color="auto"/>
            </w:tcBorders>
            <w:vAlign w:val="center"/>
            <w:hideMark/>
          </w:tcPr>
          <w:p w14:paraId="34DE9182" w14:textId="77777777" w:rsidR="00C80A74" w:rsidRPr="00F91623" w:rsidRDefault="00C80A74" w:rsidP="00651037">
            <w:pPr>
              <w:spacing w:after="0"/>
              <w:rPr>
                <w:rFonts w:asciiTheme="minorHAnsi" w:hAnsiTheme="minorHAnsi" w:cstheme="minorHAnsi"/>
                <w:b/>
                <w:bCs/>
                <w:sz w:val="18"/>
                <w:szCs w:val="18"/>
                <w:lang w:eastAsia="en-GB"/>
              </w:rPr>
            </w:pPr>
          </w:p>
        </w:tc>
        <w:tc>
          <w:tcPr>
            <w:tcW w:w="955" w:type="dxa"/>
            <w:tcBorders>
              <w:top w:val="nil"/>
              <w:left w:val="nil"/>
              <w:bottom w:val="single" w:sz="8" w:space="0" w:color="auto"/>
              <w:right w:val="single" w:sz="8" w:space="0" w:color="auto"/>
            </w:tcBorders>
            <w:shd w:val="clear" w:color="auto" w:fill="auto"/>
            <w:hideMark/>
          </w:tcPr>
          <w:p w14:paraId="5980EDFC"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957" w:type="dxa"/>
            <w:tcBorders>
              <w:top w:val="nil"/>
              <w:left w:val="nil"/>
              <w:bottom w:val="single" w:sz="8" w:space="0" w:color="auto"/>
              <w:right w:val="single" w:sz="8" w:space="0" w:color="auto"/>
            </w:tcBorders>
            <w:shd w:val="clear" w:color="auto" w:fill="auto"/>
            <w:hideMark/>
          </w:tcPr>
          <w:p w14:paraId="4236BA82"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997" w:type="dxa"/>
            <w:tcBorders>
              <w:top w:val="nil"/>
              <w:left w:val="nil"/>
              <w:bottom w:val="single" w:sz="8" w:space="0" w:color="auto"/>
              <w:right w:val="single" w:sz="8" w:space="0" w:color="auto"/>
            </w:tcBorders>
            <w:shd w:val="clear" w:color="auto" w:fill="auto"/>
            <w:hideMark/>
          </w:tcPr>
          <w:p w14:paraId="489DDE86"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955" w:type="dxa"/>
            <w:tcBorders>
              <w:top w:val="nil"/>
              <w:left w:val="nil"/>
              <w:bottom w:val="single" w:sz="8" w:space="0" w:color="auto"/>
              <w:right w:val="single" w:sz="8" w:space="0" w:color="auto"/>
            </w:tcBorders>
            <w:shd w:val="clear" w:color="auto" w:fill="auto"/>
            <w:hideMark/>
          </w:tcPr>
          <w:p w14:paraId="6B6E9797"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1891" w:type="dxa"/>
            <w:gridSpan w:val="2"/>
            <w:tcBorders>
              <w:top w:val="single" w:sz="8" w:space="0" w:color="auto"/>
              <w:left w:val="nil"/>
              <w:bottom w:val="single" w:sz="8" w:space="0" w:color="auto"/>
              <w:right w:val="single" w:sz="8" w:space="0" w:color="000000"/>
            </w:tcBorders>
            <w:shd w:val="clear" w:color="auto" w:fill="auto"/>
            <w:hideMark/>
          </w:tcPr>
          <w:p w14:paraId="0CBA5EB0"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954" w:type="dxa"/>
            <w:tcBorders>
              <w:top w:val="nil"/>
              <w:left w:val="nil"/>
              <w:bottom w:val="single" w:sz="8" w:space="0" w:color="auto"/>
              <w:right w:val="single" w:sz="8" w:space="0" w:color="auto"/>
            </w:tcBorders>
            <w:shd w:val="clear" w:color="auto" w:fill="auto"/>
            <w:hideMark/>
          </w:tcPr>
          <w:p w14:paraId="64CF4FE4"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997" w:type="dxa"/>
            <w:tcBorders>
              <w:top w:val="nil"/>
              <w:left w:val="nil"/>
              <w:bottom w:val="single" w:sz="8" w:space="0" w:color="auto"/>
              <w:right w:val="single" w:sz="8" w:space="0" w:color="auto"/>
            </w:tcBorders>
            <w:shd w:val="clear" w:color="auto" w:fill="auto"/>
            <w:hideMark/>
          </w:tcPr>
          <w:p w14:paraId="0038C263" w14:textId="77777777" w:rsidR="00C80A74" w:rsidRPr="00F91623" w:rsidRDefault="00C80A74" w:rsidP="00651037">
            <w:pPr>
              <w:spacing w:after="0"/>
              <w:rPr>
                <w:rFonts w:asciiTheme="minorHAnsi" w:hAnsiTheme="minorHAnsi" w:cstheme="minorHAnsi"/>
                <w:b/>
                <w:bCs/>
                <w:sz w:val="18"/>
                <w:szCs w:val="18"/>
                <w:lang w:eastAsia="en-GB"/>
              </w:rPr>
            </w:pPr>
            <w:r w:rsidRPr="00F91623">
              <w:rPr>
                <w:rFonts w:asciiTheme="minorHAnsi" w:hAnsiTheme="minorHAnsi" w:cstheme="minorHAnsi"/>
                <w:b/>
                <w:bCs/>
                <w:sz w:val="18"/>
                <w:lang w:eastAsia="en-GB"/>
              </w:rPr>
              <w:t> </w:t>
            </w:r>
          </w:p>
        </w:tc>
        <w:tc>
          <w:tcPr>
            <w:tcW w:w="952" w:type="dxa"/>
            <w:tcBorders>
              <w:top w:val="nil"/>
              <w:left w:val="nil"/>
              <w:bottom w:val="single" w:sz="8" w:space="0" w:color="auto"/>
              <w:right w:val="single" w:sz="8" w:space="0" w:color="auto"/>
            </w:tcBorders>
            <w:shd w:val="clear" w:color="auto" w:fill="auto"/>
          </w:tcPr>
          <w:p w14:paraId="1C85FA4D" w14:textId="202751C3" w:rsidR="00C80A74" w:rsidRPr="00F91623" w:rsidRDefault="00C80A74" w:rsidP="00651037">
            <w:pPr>
              <w:spacing w:after="0"/>
              <w:rPr>
                <w:rFonts w:asciiTheme="minorHAnsi" w:hAnsiTheme="minorHAnsi" w:cstheme="minorHAnsi"/>
                <w:b/>
                <w:bCs/>
                <w:sz w:val="18"/>
                <w:szCs w:val="18"/>
                <w:lang w:eastAsia="en-GB"/>
              </w:rPr>
            </w:pPr>
          </w:p>
        </w:tc>
      </w:tr>
    </w:tbl>
    <w:p w14:paraId="64584552" w14:textId="77777777" w:rsidR="00C80A74" w:rsidRPr="00F91623" w:rsidRDefault="00C80A74" w:rsidP="00C80A74">
      <w:pPr>
        <w:autoSpaceDE w:val="0"/>
        <w:autoSpaceDN w:val="0"/>
        <w:adjustRightInd w:val="0"/>
        <w:spacing w:after="0"/>
        <w:rPr>
          <w:rFonts w:asciiTheme="minorHAnsi" w:hAnsiTheme="minorHAnsi" w:cstheme="minorHAnsi"/>
        </w:rPr>
      </w:pPr>
    </w:p>
    <w:p w14:paraId="2968433E" w14:textId="77777777" w:rsidR="00C80A74" w:rsidRPr="00F91623" w:rsidRDefault="00C80A74" w:rsidP="00C80A74">
      <w:pPr>
        <w:autoSpaceDE w:val="0"/>
        <w:autoSpaceDN w:val="0"/>
        <w:adjustRightInd w:val="0"/>
        <w:spacing w:after="0"/>
        <w:rPr>
          <w:rFonts w:asciiTheme="minorHAnsi" w:hAnsiTheme="minorHAnsi" w:cstheme="minorHAnsi"/>
          <w:sz w:val="24"/>
          <w:szCs w:val="24"/>
        </w:rPr>
      </w:pPr>
    </w:p>
    <w:p w14:paraId="1FE85CF2" w14:textId="77772B9B" w:rsidR="00C80A74" w:rsidRPr="00F91623" w:rsidRDefault="00C80A74" w:rsidP="00C80A74">
      <w:pPr>
        <w:autoSpaceDE w:val="0"/>
        <w:autoSpaceDN w:val="0"/>
        <w:adjustRightInd w:val="0"/>
        <w:spacing w:after="0"/>
        <w:rPr>
          <w:rFonts w:asciiTheme="minorHAnsi" w:hAnsiTheme="minorHAnsi" w:cstheme="minorHAnsi"/>
        </w:rPr>
      </w:pPr>
      <w:r w:rsidRPr="00F91623">
        <w:rPr>
          <w:rFonts w:asciiTheme="minorHAnsi" w:hAnsiTheme="minorHAnsi" w:cstheme="minorHAnsi"/>
        </w:rPr>
        <w:t>2.4.5</w:t>
      </w:r>
      <w:r w:rsidRPr="00F91623">
        <w:rPr>
          <w:rFonts w:asciiTheme="minorHAnsi" w:hAnsiTheme="minorHAnsi" w:cstheme="minorHAnsi"/>
        </w:rPr>
        <w:tab/>
        <w:t xml:space="preserve">The use of </w:t>
      </w:r>
      <w:r w:rsidR="008978AB" w:rsidRPr="00F91623">
        <w:rPr>
          <w:rFonts w:asciiTheme="minorHAnsi" w:hAnsiTheme="minorHAnsi" w:cstheme="minorHAnsi"/>
        </w:rPr>
        <w:t xml:space="preserve">an </w:t>
      </w:r>
      <w:r w:rsidRPr="00F91623">
        <w:rPr>
          <w:rFonts w:asciiTheme="minorHAnsi" w:hAnsiTheme="minorHAnsi" w:cstheme="minorHAnsi"/>
        </w:rPr>
        <w:t xml:space="preserve">appropriate field guide with examples of each litter type will assist survey team members to be consistent in litter characterization. The use of standard lists and definitions of items will enable the comparison of results between different surveys, regions and environmental compartments. </w:t>
      </w:r>
      <w:r w:rsidR="00F91623" w:rsidRPr="00F91623">
        <w:rPr>
          <w:rFonts w:asciiTheme="minorHAnsi" w:hAnsiTheme="minorHAnsi" w:cstheme="minorHAnsi"/>
        </w:rPr>
        <w:t>Nevertheless,</w:t>
      </w:r>
      <w:r w:rsidRPr="00F91623">
        <w:rPr>
          <w:rFonts w:asciiTheme="minorHAnsi" w:hAnsiTheme="minorHAnsi" w:cstheme="minorHAnsi"/>
        </w:rPr>
        <w:t xml:space="preserve"> renaming or adding marine litter categories to adjust for local differences might have to take place when making regional assessments. </w:t>
      </w:r>
    </w:p>
    <w:p w14:paraId="304264F7" w14:textId="77777777" w:rsidR="00C80A74" w:rsidRPr="00F91623" w:rsidRDefault="00C80A74" w:rsidP="00C80A74">
      <w:pPr>
        <w:autoSpaceDE w:val="0"/>
        <w:autoSpaceDN w:val="0"/>
        <w:adjustRightInd w:val="0"/>
        <w:spacing w:after="0"/>
        <w:rPr>
          <w:rFonts w:asciiTheme="minorHAnsi" w:hAnsiTheme="minorHAnsi" w:cstheme="minorHAnsi"/>
          <w:sz w:val="24"/>
          <w:szCs w:val="24"/>
        </w:rPr>
      </w:pPr>
    </w:p>
    <w:p w14:paraId="7E282248" w14:textId="77777777" w:rsidR="00C80A74" w:rsidRPr="00F91623" w:rsidRDefault="00C80A74" w:rsidP="00C80A74">
      <w:pPr>
        <w:autoSpaceDE w:val="0"/>
        <w:autoSpaceDN w:val="0"/>
        <w:adjustRightInd w:val="0"/>
        <w:spacing w:after="0"/>
        <w:rPr>
          <w:rFonts w:asciiTheme="minorHAnsi" w:hAnsiTheme="minorHAnsi" w:cstheme="minorHAnsi"/>
          <w:sz w:val="24"/>
          <w:szCs w:val="24"/>
        </w:rPr>
      </w:pPr>
      <w:r w:rsidRPr="00F91623">
        <w:rPr>
          <w:rFonts w:asciiTheme="minorHAnsi" w:hAnsiTheme="minorHAnsi" w:cstheme="minorHAnsi"/>
          <w:sz w:val="24"/>
          <w:szCs w:val="24"/>
        </w:rPr>
        <w:t>Example of Cefas Seafloor Litter Monitoring Sheet:</w:t>
      </w:r>
    </w:p>
    <w:p w14:paraId="64B81A17" w14:textId="77777777" w:rsidR="00C80A74" w:rsidRPr="00F91623" w:rsidRDefault="00C80A74" w:rsidP="00C80A74">
      <w:pPr>
        <w:autoSpaceDE w:val="0"/>
        <w:autoSpaceDN w:val="0"/>
        <w:adjustRightInd w:val="0"/>
        <w:spacing w:after="0"/>
        <w:rPr>
          <w:rFonts w:asciiTheme="minorHAnsi" w:hAnsiTheme="minorHAnsi" w:cstheme="minorHAnsi"/>
          <w:sz w:val="24"/>
          <w:szCs w:val="24"/>
        </w:rPr>
      </w:pPr>
    </w:p>
    <w:tbl>
      <w:tblPr>
        <w:tblW w:w="9016" w:type="dxa"/>
        <w:tblInd w:w="-10" w:type="dxa"/>
        <w:tblLook w:val="04A0" w:firstRow="1" w:lastRow="0" w:firstColumn="1" w:lastColumn="0" w:noHBand="0" w:noVBand="1"/>
      </w:tblPr>
      <w:tblGrid>
        <w:gridCol w:w="1415"/>
        <w:gridCol w:w="4349"/>
        <w:gridCol w:w="615"/>
        <w:gridCol w:w="857"/>
        <w:gridCol w:w="824"/>
        <w:gridCol w:w="960"/>
      </w:tblGrid>
      <w:tr w:rsidR="00C80A74" w:rsidRPr="00F91623" w14:paraId="2E2AE59F" w14:textId="77777777" w:rsidTr="00651037">
        <w:trPr>
          <w:trHeight w:val="315"/>
        </w:trPr>
        <w:tc>
          <w:tcPr>
            <w:tcW w:w="1415" w:type="dxa"/>
            <w:tcBorders>
              <w:top w:val="single" w:sz="8" w:space="0" w:color="auto"/>
              <w:left w:val="single" w:sz="8" w:space="0" w:color="auto"/>
              <w:bottom w:val="nil"/>
              <w:right w:val="nil"/>
            </w:tcBorders>
            <w:shd w:val="clear" w:color="auto" w:fill="auto"/>
            <w:noWrap/>
            <w:vAlign w:val="bottom"/>
            <w:hideMark/>
          </w:tcPr>
          <w:p w14:paraId="05CDE0D1"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Cruise:</w:t>
            </w:r>
          </w:p>
        </w:tc>
        <w:tc>
          <w:tcPr>
            <w:tcW w:w="7601"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14:paraId="46365A16"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r>
      <w:tr w:rsidR="00C80A74" w:rsidRPr="00F91623" w14:paraId="750A8011" w14:textId="77777777" w:rsidTr="00651037">
        <w:trPr>
          <w:trHeight w:val="315"/>
        </w:trPr>
        <w:tc>
          <w:tcPr>
            <w:tcW w:w="1415" w:type="dxa"/>
            <w:tcBorders>
              <w:top w:val="nil"/>
              <w:left w:val="single" w:sz="8" w:space="0" w:color="auto"/>
              <w:bottom w:val="nil"/>
              <w:right w:val="nil"/>
            </w:tcBorders>
            <w:shd w:val="clear" w:color="auto" w:fill="auto"/>
            <w:noWrap/>
            <w:vAlign w:val="bottom"/>
            <w:hideMark/>
          </w:tcPr>
          <w:p w14:paraId="3EB7C041"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Station:</w:t>
            </w:r>
          </w:p>
        </w:tc>
        <w:tc>
          <w:tcPr>
            <w:tcW w:w="7601"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14:paraId="2A575FFF"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r>
      <w:tr w:rsidR="00C80A74" w:rsidRPr="00F91623" w14:paraId="51F52856" w14:textId="77777777" w:rsidTr="00651037">
        <w:trPr>
          <w:trHeight w:val="315"/>
        </w:trPr>
        <w:tc>
          <w:tcPr>
            <w:tcW w:w="1415" w:type="dxa"/>
            <w:tcBorders>
              <w:top w:val="nil"/>
              <w:left w:val="single" w:sz="8" w:space="0" w:color="auto"/>
              <w:bottom w:val="single" w:sz="8" w:space="0" w:color="auto"/>
              <w:right w:val="nil"/>
            </w:tcBorders>
            <w:shd w:val="clear" w:color="auto" w:fill="auto"/>
            <w:noWrap/>
            <w:vAlign w:val="bottom"/>
            <w:hideMark/>
          </w:tcPr>
          <w:p w14:paraId="2EE0027D"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Date:</w:t>
            </w:r>
          </w:p>
        </w:tc>
        <w:tc>
          <w:tcPr>
            <w:tcW w:w="7601"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14:paraId="62CC480E"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r>
      <w:tr w:rsidR="00C80A74" w:rsidRPr="00F91623" w14:paraId="211CBF4A" w14:textId="77777777" w:rsidTr="00651037">
        <w:trPr>
          <w:trHeight w:val="315"/>
        </w:trPr>
        <w:tc>
          <w:tcPr>
            <w:tcW w:w="1415" w:type="dxa"/>
            <w:tcBorders>
              <w:top w:val="nil"/>
              <w:left w:val="single" w:sz="8" w:space="0" w:color="auto"/>
              <w:bottom w:val="nil"/>
              <w:right w:val="nil"/>
            </w:tcBorders>
            <w:shd w:val="clear" w:color="auto" w:fill="auto"/>
            <w:noWrap/>
            <w:vAlign w:val="bottom"/>
            <w:hideMark/>
          </w:tcPr>
          <w:p w14:paraId="4519509F"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Litter Item Number</w:t>
            </w:r>
          </w:p>
        </w:tc>
        <w:tc>
          <w:tcPr>
            <w:tcW w:w="4349" w:type="dxa"/>
            <w:tcBorders>
              <w:top w:val="nil"/>
              <w:left w:val="nil"/>
              <w:bottom w:val="nil"/>
              <w:right w:val="nil"/>
            </w:tcBorders>
            <w:shd w:val="clear" w:color="auto" w:fill="auto"/>
            <w:noWrap/>
            <w:vAlign w:val="bottom"/>
            <w:hideMark/>
          </w:tcPr>
          <w:p w14:paraId="7736B462"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Category</w:t>
            </w:r>
          </w:p>
        </w:tc>
        <w:tc>
          <w:tcPr>
            <w:tcW w:w="615" w:type="dxa"/>
            <w:tcBorders>
              <w:top w:val="nil"/>
              <w:left w:val="nil"/>
              <w:bottom w:val="nil"/>
              <w:right w:val="nil"/>
            </w:tcBorders>
            <w:shd w:val="clear" w:color="auto" w:fill="auto"/>
            <w:noWrap/>
            <w:vAlign w:val="bottom"/>
            <w:hideMark/>
          </w:tcPr>
          <w:p w14:paraId="08B2FE87"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Size</w:t>
            </w:r>
          </w:p>
        </w:tc>
        <w:tc>
          <w:tcPr>
            <w:tcW w:w="857" w:type="dxa"/>
            <w:tcBorders>
              <w:top w:val="nil"/>
              <w:left w:val="nil"/>
              <w:bottom w:val="nil"/>
              <w:right w:val="nil"/>
            </w:tcBorders>
            <w:shd w:val="clear" w:color="auto" w:fill="auto"/>
            <w:noWrap/>
            <w:vAlign w:val="bottom"/>
            <w:hideMark/>
          </w:tcPr>
          <w:p w14:paraId="55DB3C4F"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Picture</w:t>
            </w:r>
          </w:p>
        </w:tc>
        <w:tc>
          <w:tcPr>
            <w:tcW w:w="824" w:type="dxa"/>
            <w:tcBorders>
              <w:top w:val="nil"/>
              <w:left w:val="nil"/>
              <w:bottom w:val="nil"/>
              <w:right w:val="nil"/>
            </w:tcBorders>
            <w:shd w:val="clear" w:color="auto" w:fill="auto"/>
            <w:noWrap/>
            <w:vAlign w:val="bottom"/>
            <w:hideMark/>
          </w:tcPr>
          <w:p w14:paraId="56A5968A"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Fouling</w:t>
            </w:r>
          </w:p>
        </w:tc>
        <w:tc>
          <w:tcPr>
            <w:tcW w:w="956" w:type="dxa"/>
            <w:tcBorders>
              <w:top w:val="nil"/>
              <w:left w:val="nil"/>
              <w:bottom w:val="nil"/>
              <w:right w:val="single" w:sz="8" w:space="0" w:color="auto"/>
            </w:tcBorders>
            <w:shd w:val="clear" w:color="auto" w:fill="auto"/>
            <w:noWrap/>
            <w:vAlign w:val="bottom"/>
            <w:hideMark/>
          </w:tcPr>
          <w:p w14:paraId="298CFEEE"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Description (e.g. weight, brand, …)</w:t>
            </w:r>
          </w:p>
        </w:tc>
      </w:tr>
      <w:tr w:rsidR="00C80A74" w:rsidRPr="00F91623" w14:paraId="553A3D06" w14:textId="77777777" w:rsidTr="00651037">
        <w:trPr>
          <w:trHeight w:val="300"/>
        </w:trPr>
        <w:tc>
          <w:tcPr>
            <w:tcW w:w="141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E330A7"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4349" w:type="dxa"/>
            <w:tcBorders>
              <w:top w:val="single" w:sz="8" w:space="0" w:color="auto"/>
              <w:left w:val="nil"/>
              <w:bottom w:val="single" w:sz="4" w:space="0" w:color="auto"/>
              <w:right w:val="single" w:sz="4" w:space="0" w:color="auto"/>
            </w:tcBorders>
            <w:shd w:val="clear" w:color="auto" w:fill="auto"/>
            <w:noWrap/>
            <w:vAlign w:val="bottom"/>
            <w:hideMark/>
          </w:tcPr>
          <w:p w14:paraId="34CE6E68"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615" w:type="dxa"/>
            <w:tcBorders>
              <w:top w:val="single" w:sz="8" w:space="0" w:color="auto"/>
              <w:left w:val="nil"/>
              <w:bottom w:val="single" w:sz="4" w:space="0" w:color="auto"/>
              <w:right w:val="single" w:sz="4" w:space="0" w:color="auto"/>
            </w:tcBorders>
            <w:shd w:val="clear" w:color="auto" w:fill="auto"/>
            <w:noWrap/>
            <w:vAlign w:val="bottom"/>
            <w:hideMark/>
          </w:tcPr>
          <w:p w14:paraId="6E6E494B"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857" w:type="dxa"/>
            <w:tcBorders>
              <w:top w:val="single" w:sz="8" w:space="0" w:color="auto"/>
              <w:left w:val="nil"/>
              <w:bottom w:val="single" w:sz="4" w:space="0" w:color="auto"/>
              <w:right w:val="single" w:sz="4" w:space="0" w:color="auto"/>
            </w:tcBorders>
            <w:shd w:val="clear" w:color="auto" w:fill="auto"/>
            <w:noWrap/>
            <w:vAlign w:val="bottom"/>
            <w:hideMark/>
          </w:tcPr>
          <w:p w14:paraId="17FEC752"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24315F0C"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956" w:type="dxa"/>
            <w:tcBorders>
              <w:top w:val="single" w:sz="8" w:space="0" w:color="auto"/>
              <w:left w:val="nil"/>
              <w:bottom w:val="single" w:sz="4" w:space="0" w:color="auto"/>
              <w:right w:val="single" w:sz="8" w:space="0" w:color="auto"/>
            </w:tcBorders>
            <w:shd w:val="clear" w:color="auto" w:fill="auto"/>
            <w:noWrap/>
            <w:vAlign w:val="bottom"/>
            <w:hideMark/>
          </w:tcPr>
          <w:p w14:paraId="15180310"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r>
      <w:tr w:rsidR="00C80A74" w:rsidRPr="00F91623" w14:paraId="124C384C" w14:textId="77777777" w:rsidTr="00651037">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36440292"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4349" w:type="dxa"/>
            <w:tcBorders>
              <w:top w:val="nil"/>
              <w:left w:val="nil"/>
              <w:bottom w:val="single" w:sz="4" w:space="0" w:color="auto"/>
              <w:right w:val="single" w:sz="4" w:space="0" w:color="auto"/>
            </w:tcBorders>
            <w:shd w:val="clear" w:color="auto" w:fill="auto"/>
            <w:noWrap/>
            <w:vAlign w:val="bottom"/>
            <w:hideMark/>
          </w:tcPr>
          <w:p w14:paraId="6A236A63"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BB53F83"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857" w:type="dxa"/>
            <w:tcBorders>
              <w:top w:val="nil"/>
              <w:left w:val="nil"/>
              <w:bottom w:val="single" w:sz="4" w:space="0" w:color="auto"/>
              <w:right w:val="single" w:sz="4" w:space="0" w:color="auto"/>
            </w:tcBorders>
            <w:shd w:val="clear" w:color="auto" w:fill="auto"/>
            <w:noWrap/>
            <w:vAlign w:val="bottom"/>
            <w:hideMark/>
          </w:tcPr>
          <w:p w14:paraId="235285D8"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824" w:type="dxa"/>
            <w:tcBorders>
              <w:top w:val="nil"/>
              <w:left w:val="nil"/>
              <w:bottom w:val="single" w:sz="4" w:space="0" w:color="auto"/>
              <w:right w:val="single" w:sz="4" w:space="0" w:color="auto"/>
            </w:tcBorders>
            <w:shd w:val="clear" w:color="auto" w:fill="auto"/>
            <w:noWrap/>
            <w:vAlign w:val="bottom"/>
            <w:hideMark/>
          </w:tcPr>
          <w:p w14:paraId="2FE56FAF"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956" w:type="dxa"/>
            <w:tcBorders>
              <w:top w:val="nil"/>
              <w:left w:val="nil"/>
              <w:bottom w:val="single" w:sz="4" w:space="0" w:color="auto"/>
              <w:right w:val="single" w:sz="8" w:space="0" w:color="auto"/>
            </w:tcBorders>
            <w:shd w:val="clear" w:color="auto" w:fill="auto"/>
            <w:noWrap/>
            <w:vAlign w:val="bottom"/>
            <w:hideMark/>
          </w:tcPr>
          <w:p w14:paraId="0FFA599B"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r>
      <w:tr w:rsidR="00C80A74" w:rsidRPr="00F91623" w14:paraId="5A01878D" w14:textId="77777777" w:rsidTr="00651037">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11187CCD"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4349" w:type="dxa"/>
            <w:tcBorders>
              <w:top w:val="nil"/>
              <w:left w:val="nil"/>
              <w:bottom w:val="single" w:sz="4" w:space="0" w:color="auto"/>
              <w:right w:val="single" w:sz="4" w:space="0" w:color="auto"/>
            </w:tcBorders>
            <w:shd w:val="clear" w:color="auto" w:fill="auto"/>
            <w:noWrap/>
            <w:vAlign w:val="bottom"/>
            <w:hideMark/>
          </w:tcPr>
          <w:p w14:paraId="737878FF"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615" w:type="dxa"/>
            <w:tcBorders>
              <w:top w:val="nil"/>
              <w:left w:val="nil"/>
              <w:bottom w:val="single" w:sz="4" w:space="0" w:color="auto"/>
              <w:right w:val="single" w:sz="4" w:space="0" w:color="auto"/>
            </w:tcBorders>
            <w:shd w:val="clear" w:color="auto" w:fill="auto"/>
            <w:noWrap/>
            <w:vAlign w:val="bottom"/>
            <w:hideMark/>
          </w:tcPr>
          <w:p w14:paraId="6FC6B523"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857" w:type="dxa"/>
            <w:tcBorders>
              <w:top w:val="nil"/>
              <w:left w:val="nil"/>
              <w:bottom w:val="single" w:sz="4" w:space="0" w:color="auto"/>
              <w:right w:val="single" w:sz="4" w:space="0" w:color="auto"/>
            </w:tcBorders>
            <w:shd w:val="clear" w:color="auto" w:fill="auto"/>
            <w:noWrap/>
            <w:vAlign w:val="bottom"/>
            <w:hideMark/>
          </w:tcPr>
          <w:p w14:paraId="351FEC23"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824" w:type="dxa"/>
            <w:tcBorders>
              <w:top w:val="nil"/>
              <w:left w:val="nil"/>
              <w:bottom w:val="single" w:sz="4" w:space="0" w:color="auto"/>
              <w:right w:val="single" w:sz="4" w:space="0" w:color="auto"/>
            </w:tcBorders>
            <w:shd w:val="clear" w:color="auto" w:fill="auto"/>
            <w:noWrap/>
            <w:vAlign w:val="bottom"/>
            <w:hideMark/>
          </w:tcPr>
          <w:p w14:paraId="24B2CE43"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956" w:type="dxa"/>
            <w:tcBorders>
              <w:top w:val="nil"/>
              <w:left w:val="nil"/>
              <w:bottom w:val="single" w:sz="4" w:space="0" w:color="auto"/>
              <w:right w:val="single" w:sz="8" w:space="0" w:color="auto"/>
            </w:tcBorders>
            <w:shd w:val="clear" w:color="auto" w:fill="auto"/>
            <w:noWrap/>
            <w:vAlign w:val="bottom"/>
            <w:hideMark/>
          </w:tcPr>
          <w:p w14:paraId="7A9FA81E"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r>
      <w:tr w:rsidR="00C80A74" w:rsidRPr="00F91623" w14:paraId="2934163C" w14:textId="77777777" w:rsidTr="00651037">
        <w:trPr>
          <w:trHeight w:val="315"/>
        </w:trPr>
        <w:tc>
          <w:tcPr>
            <w:tcW w:w="1415" w:type="dxa"/>
            <w:tcBorders>
              <w:top w:val="nil"/>
              <w:left w:val="single" w:sz="8" w:space="0" w:color="auto"/>
              <w:bottom w:val="single" w:sz="8" w:space="0" w:color="auto"/>
              <w:right w:val="single" w:sz="4" w:space="0" w:color="auto"/>
            </w:tcBorders>
            <w:shd w:val="clear" w:color="auto" w:fill="auto"/>
            <w:noWrap/>
            <w:vAlign w:val="bottom"/>
            <w:hideMark/>
          </w:tcPr>
          <w:p w14:paraId="07BA016B"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4349" w:type="dxa"/>
            <w:tcBorders>
              <w:top w:val="nil"/>
              <w:left w:val="nil"/>
              <w:bottom w:val="single" w:sz="8" w:space="0" w:color="auto"/>
              <w:right w:val="single" w:sz="4" w:space="0" w:color="auto"/>
            </w:tcBorders>
            <w:shd w:val="clear" w:color="auto" w:fill="auto"/>
            <w:noWrap/>
            <w:vAlign w:val="bottom"/>
            <w:hideMark/>
          </w:tcPr>
          <w:p w14:paraId="05D52D82"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615" w:type="dxa"/>
            <w:tcBorders>
              <w:top w:val="nil"/>
              <w:left w:val="nil"/>
              <w:bottom w:val="single" w:sz="8" w:space="0" w:color="auto"/>
              <w:right w:val="single" w:sz="4" w:space="0" w:color="auto"/>
            </w:tcBorders>
            <w:shd w:val="clear" w:color="auto" w:fill="auto"/>
            <w:noWrap/>
            <w:vAlign w:val="bottom"/>
            <w:hideMark/>
          </w:tcPr>
          <w:p w14:paraId="5E3F7A37"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857" w:type="dxa"/>
            <w:tcBorders>
              <w:top w:val="nil"/>
              <w:left w:val="nil"/>
              <w:bottom w:val="single" w:sz="8" w:space="0" w:color="auto"/>
              <w:right w:val="single" w:sz="4" w:space="0" w:color="auto"/>
            </w:tcBorders>
            <w:shd w:val="clear" w:color="auto" w:fill="auto"/>
            <w:noWrap/>
            <w:vAlign w:val="bottom"/>
            <w:hideMark/>
          </w:tcPr>
          <w:p w14:paraId="44406D57"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824" w:type="dxa"/>
            <w:tcBorders>
              <w:top w:val="nil"/>
              <w:left w:val="nil"/>
              <w:bottom w:val="single" w:sz="8" w:space="0" w:color="auto"/>
              <w:right w:val="single" w:sz="4" w:space="0" w:color="auto"/>
            </w:tcBorders>
            <w:shd w:val="clear" w:color="auto" w:fill="auto"/>
            <w:noWrap/>
            <w:vAlign w:val="bottom"/>
            <w:hideMark/>
          </w:tcPr>
          <w:p w14:paraId="76AF88E1"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c>
          <w:tcPr>
            <w:tcW w:w="956" w:type="dxa"/>
            <w:tcBorders>
              <w:top w:val="nil"/>
              <w:left w:val="nil"/>
              <w:bottom w:val="single" w:sz="8" w:space="0" w:color="auto"/>
              <w:right w:val="single" w:sz="8" w:space="0" w:color="auto"/>
            </w:tcBorders>
            <w:shd w:val="clear" w:color="auto" w:fill="auto"/>
            <w:noWrap/>
            <w:vAlign w:val="bottom"/>
            <w:hideMark/>
          </w:tcPr>
          <w:p w14:paraId="47231D9E" w14:textId="77777777" w:rsidR="00C80A74" w:rsidRPr="00F91623" w:rsidRDefault="00C80A74" w:rsidP="00651037">
            <w:pPr>
              <w:spacing w:after="0"/>
              <w:rPr>
                <w:rFonts w:asciiTheme="minorHAnsi" w:hAnsiTheme="minorHAnsi" w:cstheme="minorHAnsi"/>
                <w:sz w:val="16"/>
                <w:szCs w:val="16"/>
                <w:lang w:eastAsia="en-GB"/>
              </w:rPr>
            </w:pPr>
            <w:r w:rsidRPr="00F91623">
              <w:rPr>
                <w:rFonts w:asciiTheme="minorHAnsi" w:hAnsiTheme="minorHAnsi" w:cstheme="minorHAnsi"/>
                <w:sz w:val="16"/>
                <w:szCs w:val="16"/>
                <w:lang w:eastAsia="en-GB"/>
              </w:rPr>
              <w:t> </w:t>
            </w:r>
          </w:p>
        </w:tc>
      </w:tr>
    </w:tbl>
    <w:p w14:paraId="4E45BB7C" w14:textId="77777777" w:rsidR="00C80A74" w:rsidRPr="00F91623" w:rsidRDefault="00C80A74" w:rsidP="00C80A74">
      <w:pPr>
        <w:autoSpaceDE w:val="0"/>
        <w:autoSpaceDN w:val="0"/>
        <w:adjustRightInd w:val="0"/>
        <w:spacing w:after="0"/>
        <w:rPr>
          <w:rFonts w:asciiTheme="minorHAnsi" w:hAnsiTheme="minorHAnsi" w:cstheme="minorHAnsi"/>
          <w:sz w:val="24"/>
          <w:szCs w:val="24"/>
        </w:rPr>
      </w:pPr>
    </w:p>
    <w:p w14:paraId="78F384DE" w14:textId="77777777" w:rsidR="00260FEE" w:rsidRDefault="00260FEE">
      <w:pPr>
        <w:tabs>
          <w:tab w:val="clear" w:pos="567"/>
        </w:tabs>
        <w:spacing w:after="0"/>
        <w:jc w:val="left"/>
        <w:rPr>
          <w:rFonts w:asciiTheme="minorHAnsi" w:hAnsiTheme="minorHAnsi" w:cstheme="minorHAnsi"/>
          <w:sz w:val="24"/>
          <w:szCs w:val="24"/>
        </w:rPr>
      </w:pPr>
      <w:r>
        <w:rPr>
          <w:rFonts w:asciiTheme="minorHAnsi" w:hAnsiTheme="minorHAnsi" w:cstheme="minorHAnsi"/>
          <w:sz w:val="24"/>
          <w:szCs w:val="24"/>
        </w:rPr>
        <w:br w:type="page"/>
      </w:r>
    </w:p>
    <w:p w14:paraId="64366D05" w14:textId="4771EF3B" w:rsidR="00C80A74" w:rsidRPr="00F91623" w:rsidRDefault="00C80A74" w:rsidP="00C80A74">
      <w:pPr>
        <w:rPr>
          <w:rFonts w:asciiTheme="minorHAnsi" w:hAnsiTheme="minorHAnsi" w:cstheme="minorHAnsi"/>
          <w:sz w:val="24"/>
          <w:szCs w:val="24"/>
        </w:rPr>
      </w:pPr>
      <w:r w:rsidRPr="00F91623">
        <w:rPr>
          <w:rFonts w:asciiTheme="minorHAnsi" w:hAnsiTheme="minorHAnsi" w:cstheme="minorHAnsi"/>
          <w:sz w:val="24"/>
          <w:szCs w:val="24"/>
        </w:rPr>
        <w:t>2.5</w:t>
      </w:r>
      <w:r w:rsidRPr="00F91623">
        <w:rPr>
          <w:rFonts w:asciiTheme="minorHAnsi" w:hAnsiTheme="minorHAnsi" w:cstheme="minorHAnsi"/>
          <w:sz w:val="24"/>
          <w:szCs w:val="24"/>
        </w:rPr>
        <w:tab/>
        <w:t>Quality assurance/ Quality Control</w:t>
      </w:r>
    </w:p>
    <w:p w14:paraId="17014504" w14:textId="34074A68" w:rsidR="00C80A74" w:rsidRPr="00F91623" w:rsidRDefault="00C80A74" w:rsidP="00C80A74">
      <w:pPr>
        <w:rPr>
          <w:rFonts w:asciiTheme="minorHAnsi" w:hAnsiTheme="minorHAnsi" w:cstheme="minorHAnsi"/>
        </w:rPr>
      </w:pPr>
      <w:r w:rsidRPr="00F91623">
        <w:rPr>
          <w:rFonts w:asciiTheme="minorHAnsi" w:hAnsiTheme="minorHAnsi" w:cstheme="minorHAnsi"/>
        </w:rPr>
        <w:t>2.5.1</w:t>
      </w:r>
      <w:r w:rsidRPr="00F91623">
        <w:rPr>
          <w:rFonts w:asciiTheme="minorHAnsi" w:hAnsiTheme="minorHAnsi" w:cstheme="minorHAnsi"/>
        </w:rPr>
        <w:tab/>
        <w:t xml:space="preserve">It is important that the data generated is of acceptable quality. </w:t>
      </w:r>
      <w:r w:rsidR="00F91623" w:rsidRPr="00F91623">
        <w:rPr>
          <w:rFonts w:asciiTheme="minorHAnsi" w:hAnsiTheme="minorHAnsi" w:cstheme="minorHAnsi"/>
        </w:rPr>
        <w:t>To</w:t>
      </w:r>
      <w:r w:rsidRPr="00F91623">
        <w:rPr>
          <w:rFonts w:asciiTheme="minorHAnsi" w:hAnsiTheme="minorHAnsi" w:cstheme="minorHAnsi"/>
        </w:rPr>
        <w:t xml:space="preserve"> ensure the quality and integrity of benthic marine litter monitoring data, the use of quality control and assurance measures, such as training for operators and use of standard picture list of litter items need to be introduced.</w:t>
      </w:r>
    </w:p>
    <w:p w14:paraId="26C16905" w14:textId="77777777" w:rsidR="00C80A74" w:rsidRPr="00F91623" w:rsidRDefault="00C80A74" w:rsidP="00C80A74">
      <w:pPr>
        <w:rPr>
          <w:rFonts w:asciiTheme="minorHAnsi" w:hAnsiTheme="minorHAnsi" w:cstheme="minorHAnsi"/>
        </w:rPr>
      </w:pPr>
      <w:r w:rsidRPr="00F91623">
        <w:rPr>
          <w:rFonts w:asciiTheme="minorHAnsi" w:hAnsiTheme="minorHAnsi" w:cstheme="minorHAnsi"/>
        </w:rPr>
        <w:t>2.5.2</w:t>
      </w:r>
      <w:r w:rsidRPr="00F91623">
        <w:rPr>
          <w:rFonts w:asciiTheme="minorHAnsi" w:hAnsiTheme="minorHAnsi" w:cstheme="minorHAnsi"/>
        </w:rPr>
        <w:tab/>
        <w:t>QA/QC procedures for seabed litter should form part of the future ICES Working Group on Marine Litter.</w:t>
      </w:r>
    </w:p>
    <w:p w14:paraId="64E6B1FE" w14:textId="77777777" w:rsidR="00C80A74" w:rsidRPr="00F91623" w:rsidRDefault="00C80A74" w:rsidP="00C80A74">
      <w:pPr>
        <w:rPr>
          <w:rFonts w:asciiTheme="minorHAnsi" w:hAnsiTheme="minorHAnsi" w:cstheme="minorHAnsi"/>
          <w:sz w:val="24"/>
          <w:szCs w:val="24"/>
        </w:rPr>
      </w:pPr>
      <w:r w:rsidRPr="00F91623">
        <w:rPr>
          <w:rFonts w:asciiTheme="minorHAnsi" w:hAnsiTheme="minorHAnsi" w:cstheme="minorHAnsi"/>
          <w:sz w:val="24"/>
          <w:szCs w:val="24"/>
        </w:rPr>
        <w:t>2.6</w:t>
      </w:r>
      <w:r w:rsidRPr="00F91623">
        <w:rPr>
          <w:rFonts w:asciiTheme="minorHAnsi" w:hAnsiTheme="minorHAnsi" w:cstheme="minorHAnsi"/>
          <w:sz w:val="24"/>
          <w:szCs w:val="24"/>
        </w:rPr>
        <w:tab/>
        <w:t>Data reporting, handling and management</w:t>
      </w:r>
    </w:p>
    <w:p w14:paraId="01473A90" w14:textId="77777777" w:rsidR="00C80A74" w:rsidRPr="00F91623" w:rsidRDefault="00C80A74" w:rsidP="00C80A74">
      <w:pPr>
        <w:rPr>
          <w:rFonts w:asciiTheme="minorHAnsi" w:hAnsiTheme="minorHAnsi" w:cstheme="minorHAnsi"/>
        </w:rPr>
      </w:pPr>
      <w:r w:rsidRPr="00F91623">
        <w:rPr>
          <w:rFonts w:asciiTheme="minorHAnsi" w:hAnsiTheme="minorHAnsi" w:cstheme="minorHAnsi"/>
        </w:rPr>
        <w:t>2.6.1</w:t>
      </w:r>
      <w:r w:rsidRPr="00F91623">
        <w:rPr>
          <w:rFonts w:asciiTheme="minorHAnsi" w:hAnsiTheme="minorHAnsi" w:cstheme="minorHAnsi"/>
        </w:rPr>
        <w:tab/>
        <w:t xml:space="preserve">The ICES Data Centre has taken the data reporting forward via existing database systems, DATRAS. There will be no changes to DATRAS, but litter data collected during a trawl survey will be storable and connected to the DATRAS database. The DATRAS Unique key information will be used to link litter data to the DATRAS haul data to ensure a streamlined reporting process. </w:t>
      </w:r>
    </w:p>
    <w:p w14:paraId="249E5F43" w14:textId="77777777" w:rsidR="00C80A74" w:rsidRPr="00F91623" w:rsidDel="000726E9" w:rsidRDefault="00C80A74" w:rsidP="00C80A74">
      <w:pPr>
        <w:pStyle w:val="Textosinformato"/>
        <w:spacing w:line="276" w:lineRule="auto"/>
        <w:jc w:val="both"/>
        <w:rPr>
          <w:rFonts w:asciiTheme="minorHAnsi" w:hAnsiTheme="minorHAnsi" w:cstheme="minorHAnsi"/>
          <w:szCs w:val="22"/>
        </w:rPr>
      </w:pPr>
      <w:r w:rsidRPr="00F91623">
        <w:rPr>
          <w:rFonts w:asciiTheme="minorHAnsi" w:hAnsiTheme="minorHAnsi" w:cstheme="minorHAnsi"/>
        </w:rPr>
        <w:t>2.6.2</w:t>
      </w:r>
      <w:r w:rsidRPr="00F91623">
        <w:rPr>
          <w:rFonts w:asciiTheme="minorHAnsi" w:hAnsiTheme="minorHAnsi" w:cstheme="minorHAnsi"/>
          <w:szCs w:val="22"/>
        </w:rPr>
        <w:tab/>
        <w:t>The data will be by default available through the ICES Data Portal on the ICES website</w:t>
      </w:r>
      <w:r w:rsidRPr="00F91623">
        <w:rPr>
          <w:rFonts w:asciiTheme="minorHAnsi" w:hAnsiTheme="minorHAnsi" w:cstheme="minorHAnsi"/>
        </w:rPr>
        <w:t xml:space="preserve"> (</w:t>
      </w:r>
      <w:hyperlink r:id="rId11" w:history="1">
        <w:r w:rsidRPr="00F91623">
          <w:rPr>
            <w:rStyle w:val="Hipervnculo"/>
            <w:rFonts w:asciiTheme="minorHAnsi" w:hAnsiTheme="minorHAnsi" w:cstheme="minorHAnsi"/>
          </w:rPr>
          <w:t>https://datras.ices.dk/Data_products/Download/Download_Data_public.aspx</w:t>
        </w:r>
      </w:hyperlink>
      <w:r w:rsidRPr="00F91623">
        <w:rPr>
          <w:rFonts w:asciiTheme="minorHAnsi" w:hAnsiTheme="minorHAnsi" w:cstheme="minorHAnsi"/>
        </w:rPr>
        <w:t>)</w:t>
      </w:r>
      <w:r w:rsidRPr="00F91623">
        <w:rPr>
          <w:rFonts w:asciiTheme="minorHAnsi" w:hAnsiTheme="minorHAnsi" w:cstheme="minorHAnsi"/>
          <w:szCs w:val="22"/>
        </w:rPr>
        <w:t>. This application has a download capability where csv files of the data points can be downloaded along with accompanying meta data. Extra columns have been added to filter data by OSPAR area, MSFD regions, EEZ and territorial waters This application also offers standard web services which can be used by statistical packages i.e. R scripting</w:t>
      </w:r>
    </w:p>
    <w:p w14:paraId="6AB9429D" w14:textId="77777777" w:rsidR="00C80A74" w:rsidRDefault="00C80A74" w:rsidP="00C80A74">
      <w:pPr>
        <w:rPr>
          <w:rFonts w:asciiTheme="minorHAnsi" w:hAnsiTheme="minorHAnsi" w:cstheme="minorHAnsi"/>
        </w:rPr>
      </w:pPr>
    </w:p>
    <w:p w14:paraId="2A627442" w14:textId="77777777" w:rsidR="008538CD" w:rsidRPr="00F91623" w:rsidRDefault="008538CD" w:rsidP="00C80A74">
      <w:pPr>
        <w:rPr>
          <w:rFonts w:asciiTheme="minorHAnsi" w:hAnsiTheme="minorHAnsi" w:cstheme="minorHAnsi"/>
        </w:rPr>
      </w:pPr>
    </w:p>
    <w:p w14:paraId="603D6BFE" w14:textId="77777777" w:rsidR="00C80A74" w:rsidRPr="00F91623" w:rsidRDefault="00C80A74" w:rsidP="00C80A74">
      <w:pPr>
        <w:rPr>
          <w:rFonts w:asciiTheme="minorHAnsi" w:hAnsiTheme="minorHAnsi" w:cstheme="minorHAnsi"/>
          <w:sz w:val="28"/>
          <w:szCs w:val="28"/>
        </w:rPr>
      </w:pPr>
      <w:r w:rsidRPr="00F91623">
        <w:rPr>
          <w:rFonts w:asciiTheme="minorHAnsi" w:hAnsiTheme="minorHAnsi" w:cstheme="minorHAnsi"/>
          <w:sz w:val="28"/>
          <w:szCs w:val="28"/>
        </w:rPr>
        <w:t>3</w:t>
      </w:r>
      <w:r w:rsidRPr="00F91623">
        <w:rPr>
          <w:rFonts w:asciiTheme="minorHAnsi" w:hAnsiTheme="minorHAnsi" w:cstheme="minorHAnsi"/>
          <w:sz w:val="28"/>
          <w:szCs w:val="28"/>
        </w:rPr>
        <w:tab/>
        <w:t>Assessment</w:t>
      </w:r>
    </w:p>
    <w:p w14:paraId="2F64E789" w14:textId="77777777" w:rsidR="00C80A74" w:rsidRPr="00F91623" w:rsidRDefault="00C80A74" w:rsidP="00C80A74">
      <w:pPr>
        <w:rPr>
          <w:rFonts w:asciiTheme="minorHAnsi" w:hAnsiTheme="minorHAnsi" w:cstheme="minorHAnsi"/>
          <w:sz w:val="24"/>
          <w:szCs w:val="24"/>
        </w:rPr>
      </w:pPr>
      <w:r w:rsidRPr="00F91623">
        <w:rPr>
          <w:rFonts w:asciiTheme="minorHAnsi" w:hAnsiTheme="minorHAnsi" w:cstheme="minorHAnsi"/>
          <w:sz w:val="24"/>
          <w:szCs w:val="24"/>
        </w:rPr>
        <w:t>3.1</w:t>
      </w:r>
      <w:r w:rsidRPr="00F91623">
        <w:rPr>
          <w:rFonts w:asciiTheme="minorHAnsi" w:hAnsiTheme="minorHAnsi" w:cstheme="minorHAnsi"/>
          <w:sz w:val="24"/>
          <w:szCs w:val="24"/>
        </w:rPr>
        <w:tab/>
        <w:t xml:space="preserve">Data acquisition </w:t>
      </w:r>
    </w:p>
    <w:p w14:paraId="4D133AB3" w14:textId="1DAA39CF" w:rsidR="00C80A74" w:rsidRPr="00F91623" w:rsidRDefault="00C80A74" w:rsidP="00C80A74">
      <w:pPr>
        <w:rPr>
          <w:rFonts w:asciiTheme="minorHAnsi" w:hAnsiTheme="minorHAnsi" w:cstheme="minorHAnsi"/>
        </w:rPr>
      </w:pPr>
      <w:r w:rsidRPr="00F91623">
        <w:rPr>
          <w:rFonts w:asciiTheme="minorHAnsi" w:hAnsiTheme="minorHAnsi" w:cstheme="minorHAnsi"/>
        </w:rPr>
        <w:t>3.1.1</w:t>
      </w:r>
      <w:r w:rsidRPr="00F91623">
        <w:rPr>
          <w:rFonts w:asciiTheme="minorHAnsi" w:hAnsiTheme="minorHAnsi" w:cstheme="minorHAnsi"/>
        </w:rPr>
        <w:tab/>
        <w:t xml:space="preserve">Data is collected annually by the ICES datacentre and </w:t>
      </w:r>
      <w:r w:rsidR="00F91623" w:rsidRPr="00F91623">
        <w:rPr>
          <w:rFonts w:asciiTheme="minorHAnsi" w:hAnsiTheme="minorHAnsi" w:cstheme="minorHAnsi"/>
        </w:rPr>
        <w:t>an extraction</w:t>
      </w:r>
      <w:r w:rsidRPr="00F91623">
        <w:rPr>
          <w:rFonts w:asciiTheme="minorHAnsi" w:hAnsiTheme="minorHAnsi" w:cstheme="minorHAnsi"/>
        </w:rPr>
        <w:t xml:space="preserve"> can be made from the ICES website. An overview of the submission status of all available seafloor litter data can be found here:</w:t>
      </w:r>
    </w:p>
    <w:p w14:paraId="75BFCD40" w14:textId="77777777" w:rsidR="00C80A74" w:rsidRPr="00F91623" w:rsidRDefault="00C80A74" w:rsidP="00C80A74">
      <w:pPr>
        <w:rPr>
          <w:rFonts w:asciiTheme="minorHAnsi" w:hAnsiTheme="minorHAnsi" w:cstheme="minorHAnsi"/>
        </w:rPr>
      </w:pPr>
      <w:r w:rsidRPr="00F91623">
        <w:rPr>
          <w:rFonts w:asciiTheme="minorHAnsi" w:hAnsiTheme="minorHAnsi" w:cstheme="minorHAnsi"/>
        </w:rPr>
        <w:t xml:space="preserve"> </w:t>
      </w:r>
      <w:hyperlink r:id="rId12" w:history="1">
        <w:r w:rsidRPr="00F91623">
          <w:rPr>
            <w:rStyle w:val="Hipervnculo"/>
            <w:rFonts w:asciiTheme="minorHAnsi" w:hAnsiTheme="minorHAnsi" w:cstheme="minorHAnsi"/>
          </w:rPr>
          <w:t>https://datras.ices.dk/Data_products/Submission_Status.aspx</w:t>
        </w:r>
      </w:hyperlink>
      <w:r w:rsidRPr="00F91623">
        <w:rPr>
          <w:rFonts w:asciiTheme="minorHAnsi" w:hAnsiTheme="minorHAnsi" w:cstheme="minorHAnsi"/>
        </w:rPr>
        <w:t xml:space="preserve"> . </w:t>
      </w:r>
    </w:p>
    <w:p w14:paraId="5A32037D" w14:textId="77777777" w:rsidR="00C80A74" w:rsidRPr="00F91623" w:rsidRDefault="00C80A74" w:rsidP="00C80A74">
      <w:pPr>
        <w:rPr>
          <w:rFonts w:asciiTheme="minorHAnsi" w:hAnsiTheme="minorHAnsi" w:cstheme="minorHAnsi"/>
        </w:rPr>
      </w:pPr>
      <w:r w:rsidRPr="00F91623">
        <w:rPr>
          <w:rFonts w:asciiTheme="minorHAnsi" w:hAnsiTheme="minorHAnsi" w:cstheme="minorHAnsi"/>
        </w:rPr>
        <w:t>3.1.2</w:t>
      </w:r>
      <w:r w:rsidRPr="00F91623">
        <w:rPr>
          <w:rFonts w:asciiTheme="minorHAnsi" w:hAnsiTheme="minorHAnsi" w:cstheme="minorHAnsi"/>
        </w:rPr>
        <w:tab/>
        <w:t>Since 2017, data can be downloaded via the ICES Data Centre:</w:t>
      </w:r>
    </w:p>
    <w:p w14:paraId="4BBCBA2F" w14:textId="77777777" w:rsidR="00C80A74" w:rsidRPr="00F91623" w:rsidRDefault="00C80A74" w:rsidP="00C80A74">
      <w:pPr>
        <w:rPr>
          <w:rFonts w:asciiTheme="minorHAnsi" w:hAnsiTheme="minorHAnsi" w:cstheme="minorHAnsi"/>
          <w:color w:val="1F497D"/>
        </w:rPr>
      </w:pPr>
      <w:r w:rsidRPr="00F91623">
        <w:rPr>
          <w:rFonts w:asciiTheme="minorHAnsi" w:hAnsiTheme="minorHAnsi" w:cstheme="minorHAnsi"/>
        </w:rPr>
        <w:t xml:space="preserve"> </w:t>
      </w:r>
      <w:hyperlink r:id="rId13" w:history="1">
        <w:r w:rsidRPr="00F91623">
          <w:rPr>
            <w:rStyle w:val="Hipervnculo"/>
            <w:rFonts w:asciiTheme="minorHAnsi" w:hAnsiTheme="minorHAnsi" w:cstheme="minorHAnsi"/>
          </w:rPr>
          <w:t>https://datras.ices.dk/Data_products/Download/files/Trawl_Litter_OSPAR_V6_20170310.Zip</w:t>
        </w:r>
      </w:hyperlink>
    </w:p>
    <w:p w14:paraId="223F8CDF" w14:textId="77777777" w:rsidR="00C80A74" w:rsidRPr="00F91623" w:rsidRDefault="00C80A74" w:rsidP="00C80A74">
      <w:pPr>
        <w:rPr>
          <w:rFonts w:asciiTheme="minorHAnsi" w:hAnsiTheme="minorHAnsi" w:cstheme="minorHAnsi"/>
          <w:sz w:val="24"/>
          <w:szCs w:val="24"/>
        </w:rPr>
      </w:pPr>
      <w:r w:rsidRPr="00F91623">
        <w:rPr>
          <w:rFonts w:asciiTheme="minorHAnsi" w:hAnsiTheme="minorHAnsi" w:cstheme="minorHAnsi"/>
          <w:sz w:val="24"/>
          <w:szCs w:val="24"/>
        </w:rPr>
        <w:t>3.2</w:t>
      </w:r>
      <w:r w:rsidRPr="00F91623">
        <w:rPr>
          <w:rFonts w:asciiTheme="minorHAnsi" w:hAnsiTheme="minorHAnsi" w:cstheme="minorHAnsi"/>
          <w:sz w:val="24"/>
          <w:szCs w:val="24"/>
        </w:rPr>
        <w:tab/>
        <w:t>Preparation of data</w:t>
      </w:r>
    </w:p>
    <w:p w14:paraId="7B0BFAC9" w14:textId="77777777" w:rsidR="00C80A74" w:rsidRPr="00F91623" w:rsidRDefault="00C80A74" w:rsidP="00C80A74">
      <w:pPr>
        <w:rPr>
          <w:rFonts w:asciiTheme="minorHAnsi" w:hAnsiTheme="minorHAnsi" w:cstheme="minorHAnsi"/>
        </w:rPr>
      </w:pPr>
      <w:r w:rsidRPr="00F91623">
        <w:rPr>
          <w:rFonts w:asciiTheme="minorHAnsi" w:hAnsiTheme="minorHAnsi" w:cstheme="minorHAnsi"/>
        </w:rPr>
        <w:t>3.2.1</w:t>
      </w:r>
      <w:r w:rsidRPr="00F91623">
        <w:rPr>
          <w:rFonts w:asciiTheme="minorHAnsi" w:hAnsiTheme="minorHAnsi" w:cstheme="minorHAnsi"/>
        </w:rPr>
        <w:tab/>
        <w:t>Normalisation needs only arise if multiple trawl surveys are combined. In order to amalgamate benthic litter data generated by different trawl types, there is a need to define an appropriate factor between the litter catchability of different trawls. Simultaneous or parallel trawls are therefore required. In the absence of correction factors for different trawls, only one fisheries survey is used to assess an OSPAR area</w:t>
      </w:r>
    </w:p>
    <w:p w14:paraId="15A0DE91" w14:textId="77777777" w:rsidR="00C80A74" w:rsidRPr="00F91623" w:rsidRDefault="00C80A74" w:rsidP="00C80A74">
      <w:pPr>
        <w:shd w:val="clear" w:color="auto" w:fill="FFFFFF"/>
        <w:rPr>
          <w:rFonts w:asciiTheme="minorHAnsi" w:hAnsiTheme="minorHAnsi" w:cstheme="minorHAnsi"/>
        </w:rPr>
      </w:pPr>
      <w:r w:rsidRPr="00F91623">
        <w:rPr>
          <w:rFonts w:asciiTheme="minorHAnsi" w:hAnsiTheme="minorHAnsi" w:cstheme="minorHAnsi"/>
        </w:rPr>
        <w:t>3.2.2</w:t>
      </w:r>
      <w:r w:rsidRPr="00F91623">
        <w:rPr>
          <w:rFonts w:asciiTheme="minorHAnsi" w:hAnsiTheme="minorHAnsi" w:cstheme="minorHAnsi"/>
        </w:rPr>
        <w:tab/>
        <w:t>In the first OSPAR wide seafloor litter assessment some pragmatic decisions were taken:</w:t>
      </w:r>
    </w:p>
    <w:p w14:paraId="57872994" w14:textId="77777777" w:rsidR="00C80A74" w:rsidRPr="00F91623" w:rsidRDefault="00C80A74" w:rsidP="00C80A74">
      <w:pPr>
        <w:pStyle w:val="Prrafodelista"/>
        <w:numPr>
          <w:ilvl w:val="0"/>
          <w:numId w:val="34"/>
        </w:numPr>
        <w:spacing w:before="120" w:after="120" w:line="280" w:lineRule="atLeast"/>
        <w:ind w:left="1077" w:hanging="357"/>
        <w:contextualSpacing w:val="0"/>
        <w:jc w:val="both"/>
        <w:rPr>
          <w:rFonts w:asciiTheme="minorHAnsi" w:hAnsiTheme="minorHAnsi" w:cstheme="minorHAnsi"/>
        </w:rPr>
      </w:pPr>
      <w:r w:rsidRPr="00F91623">
        <w:rPr>
          <w:rFonts w:asciiTheme="minorHAnsi" w:hAnsiTheme="minorHAnsi" w:cstheme="minorHAnsi"/>
        </w:rPr>
        <w:t xml:space="preserve">Rows with missing values were deleted in the original data file </w:t>
      </w:r>
    </w:p>
    <w:p w14:paraId="775308D9" w14:textId="77777777" w:rsidR="00C80A74" w:rsidRPr="00F91623" w:rsidRDefault="00C80A74" w:rsidP="00C80A74">
      <w:pPr>
        <w:pStyle w:val="Prrafodelista"/>
        <w:numPr>
          <w:ilvl w:val="0"/>
          <w:numId w:val="34"/>
        </w:numPr>
        <w:spacing w:before="120" w:after="120" w:line="280" w:lineRule="atLeast"/>
        <w:ind w:left="1077" w:hanging="357"/>
        <w:contextualSpacing w:val="0"/>
        <w:jc w:val="both"/>
        <w:rPr>
          <w:rFonts w:asciiTheme="minorHAnsi" w:hAnsiTheme="minorHAnsi" w:cstheme="minorHAnsi"/>
        </w:rPr>
      </w:pPr>
      <w:r w:rsidRPr="00F91623">
        <w:rPr>
          <w:rFonts w:asciiTheme="minorHAnsi" w:hAnsiTheme="minorHAnsi" w:cstheme="minorHAnsi"/>
        </w:rPr>
        <w:t>Values of -9 in the ‘items’ field were recoded as zero.</w:t>
      </w:r>
    </w:p>
    <w:p w14:paraId="47877739" w14:textId="77777777" w:rsidR="00C80A74" w:rsidRPr="00F91623" w:rsidRDefault="00C80A74" w:rsidP="00C80A74">
      <w:pPr>
        <w:pStyle w:val="Prrafodelista"/>
        <w:numPr>
          <w:ilvl w:val="0"/>
          <w:numId w:val="34"/>
        </w:numPr>
        <w:spacing w:before="120" w:after="120" w:line="280" w:lineRule="atLeast"/>
        <w:ind w:left="1077" w:hanging="357"/>
        <w:contextualSpacing w:val="0"/>
        <w:jc w:val="both"/>
        <w:rPr>
          <w:rFonts w:asciiTheme="minorHAnsi" w:hAnsiTheme="minorHAnsi" w:cstheme="minorHAnsi"/>
        </w:rPr>
      </w:pPr>
      <w:r w:rsidRPr="00F91623">
        <w:rPr>
          <w:rFonts w:asciiTheme="minorHAnsi" w:hAnsiTheme="minorHAnsi" w:cstheme="minorHAnsi"/>
        </w:rPr>
        <w:t>Only years 2012-2014 were available for this assessment.</w:t>
      </w:r>
    </w:p>
    <w:p w14:paraId="32F5B26E" w14:textId="77777777" w:rsidR="00C80A74" w:rsidRPr="00F91623" w:rsidRDefault="00C80A74" w:rsidP="00C80A74">
      <w:pPr>
        <w:pStyle w:val="Prrafodelista"/>
        <w:numPr>
          <w:ilvl w:val="0"/>
          <w:numId w:val="34"/>
        </w:numPr>
        <w:spacing w:before="120" w:after="120" w:line="280" w:lineRule="atLeast"/>
        <w:ind w:left="1077" w:hanging="357"/>
        <w:contextualSpacing w:val="0"/>
        <w:jc w:val="both"/>
        <w:rPr>
          <w:rFonts w:asciiTheme="minorHAnsi" w:hAnsiTheme="minorHAnsi" w:cstheme="minorHAnsi"/>
        </w:rPr>
      </w:pPr>
      <w:r w:rsidRPr="00F91623">
        <w:rPr>
          <w:rFonts w:asciiTheme="minorHAnsi" w:hAnsiTheme="minorHAnsi" w:cstheme="minorHAnsi"/>
        </w:rPr>
        <w:t>Two assessment were made based on GOV trawl values for the Greater North Sea, The Celtic Sea and The Bay of Biscay and BAK trawl values for the north-western Iberian shelf and The Golf of Cadiz.</w:t>
      </w:r>
    </w:p>
    <w:p w14:paraId="16CAEEF2" w14:textId="77777777" w:rsidR="00C80A74" w:rsidRPr="00F91623" w:rsidRDefault="00C80A74" w:rsidP="00C80A74">
      <w:pPr>
        <w:pStyle w:val="Prrafodelista"/>
        <w:numPr>
          <w:ilvl w:val="0"/>
          <w:numId w:val="34"/>
        </w:numPr>
        <w:spacing w:before="120" w:after="120" w:line="280" w:lineRule="atLeast"/>
        <w:ind w:left="1077" w:hanging="357"/>
        <w:contextualSpacing w:val="0"/>
        <w:jc w:val="both"/>
        <w:rPr>
          <w:rFonts w:asciiTheme="minorHAnsi" w:hAnsiTheme="minorHAnsi" w:cstheme="minorHAnsi"/>
        </w:rPr>
      </w:pPr>
      <w:r w:rsidRPr="00F91623">
        <w:rPr>
          <w:rFonts w:asciiTheme="minorHAnsi" w:hAnsiTheme="minorHAnsi" w:cstheme="minorHAnsi"/>
        </w:rPr>
        <w:t>The data format was modified for statistical use</w:t>
      </w:r>
    </w:p>
    <w:p w14:paraId="023D6A3F" w14:textId="77777777" w:rsidR="00C80A74" w:rsidRPr="00F91623" w:rsidRDefault="00C80A74" w:rsidP="00C80A74">
      <w:pPr>
        <w:pStyle w:val="Prrafodelista"/>
        <w:numPr>
          <w:ilvl w:val="0"/>
          <w:numId w:val="34"/>
        </w:numPr>
        <w:spacing w:before="120" w:after="120" w:line="280" w:lineRule="atLeast"/>
        <w:ind w:left="1077" w:hanging="357"/>
        <w:contextualSpacing w:val="0"/>
        <w:jc w:val="both"/>
        <w:rPr>
          <w:rFonts w:asciiTheme="minorHAnsi" w:hAnsiTheme="minorHAnsi" w:cstheme="minorHAnsi"/>
        </w:rPr>
      </w:pPr>
      <w:r w:rsidRPr="00F91623">
        <w:rPr>
          <w:rFonts w:asciiTheme="minorHAnsi" w:hAnsiTheme="minorHAnsi" w:cstheme="minorHAnsi"/>
        </w:rPr>
        <w:t xml:space="preserve">The following was used to define haul ‘area’: area = 1,000,0000 * litter / (doorspan*distance) km2. </w:t>
      </w:r>
    </w:p>
    <w:p w14:paraId="58AB678D" w14:textId="77777777" w:rsidR="00BD4321" w:rsidRPr="00F91623" w:rsidRDefault="00C80A74" w:rsidP="009844FB">
      <w:pPr>
        <w:pStyle w:val="Prrafodelista"/>
        <w:numPr>
          <w:ilvl w:val="0"/>
          <w:numId w:val="34"/>
        </w:numPr>
        <w:spacing w:before="120" w:after="120" w:line="280" w:lineRule="atLeast"/>
        <w:ind w:left="1077" w:hanging="357"/>
        <w:contextualSpacing w:val="0"/>
        <w:jc w:val="both"/>
        <w:rPr>
          <w:rFonts w:asciiTheme="minorHAnsi" w:hAnsiTheme="minorHAnsi" w:cstheme="minorHAnsi"/>
        </w:rPr>
      </w:pPr>
      <w:r w:rsidRPr="00F91623">
        <w:rPr>
          <w:rFonts w:asciiTheme="minorHAnsi" w:hAnsiTheme="minorHAnsi" w:cstheme="minorHAnsi"/>
        </w:rPr>
        <w:t>The mean of the door / wing ratios (4.18) was calculated to use as an approximate conversion factor.</w:t>
      </w:r>
    </w:p>
    <w:p w14:paraId="42FFC9FC" w14:textId="0DAED7BA" w:rsidR="00BD4321" w:rsidRPr="00F91623" w:rsidRDefault="00BD4321" w:rsidP="00BD4321">
      <w:pPr>
        <w:pStyle w:val="Prrafodelista"/>
        <w:numPr>
          <w:ilvl w:val="0"/>
          <w:numId w:val="34"/>
        </w:numPr>
        <w:spacing w:before="120" w:after="120" w:line="280" w:lineRule="atLeast"/>
        <w:ind w:left="1077" w:hanging="357"/>
        <w:contextualSpacing w:val="0"/>
        <w:jc w:val="both"/>
        <w:rPr>
          <w:rFonts w:asciiTheme="minorHAnsi" w:hAnsiTheme="minorHAnsi" w:cstheme="minorHAnsi"/>
        </w:rPr>
      </w:pPr>
      <w:r w:rsidRPr="00F91623">
        <w:rPr>
          <w:rFonts w:asciiTheme="minorHAnsi" w:hAnsiTheme="minorHAnsi" w:cstheme="minorHAnsi"/>
          <w:lang w:val="en-US" w:eastAsia="en-GB"/>
        </w:rPr>
        <w:t>There were two ways of coding the litter types: (C-TS) and the revised way (C-TS-REV). Some simple R coding is used to transfer between both category lists (C-TS-REV &amp; C-TS), it regroups the sanitary waste items in the plastic category.</w:t>
      </w:r>
    </w:p>
    <w:p w14:paraId="6BE0E4FB" w14:textId="77777777" w:rsidR="00C80A74" w:rsidRPr="00F91623" w:rsidRDefault="00C80A74" w:rsidP="00C80A74">
      <w:pPr>
        <w:rPr>
          <w:rFonts w:asciiTheme="minorHAnsi" w:hAnsiTheme="minorHAnsi" w:cstheme="minorHAnsi"/>
          <w:i/>
        </w:rPr>
      </w:pPr>
    </w:p>
    <w:p w14:paraId="2DBD6D08" w14:textId="77777777" w:rsidR="00C80A74" w:rsidRPr="00F91623" w:rsidRDefault="00C80A74" w:rsidP="00C80A74">
      <w:pPr>
        <w:rPr>
          <w:rFonts w:asciiTheme="minorHAnsi" w:hAnsiTheme="minorHAnsi" w:cstheme="minorHAnsi"/>
          <w:i/>
        </w:rPr>
      </w:pPr>
      <w:r w:rsidRPr="00F91623">
        <w:rPr>
          <w:rFonts w:asciiTheme="minorHAnsi" w:hAnsiTheme="minorHAnsi" w:cstheme="minorHAnsi"/>
          <w:i/>
        </w:rPr>
        <w:t xml:space="preserve">Aggregation and integration of data acquired </w:t>
      </w:r>
    </w:p>
    <w:p w14:paraId="570CA033" w14:textId="77777777" w:rsidR="00C80A74" w:rsidRPr="00F91623" w:rsidRDefault="00C80A74" w:rsidP="00C80A74">
      <w:pPr>
        <w:rPr>
          <w:rFonts w:asciiTheme="minorHAnsi" w:hAnsiTheme="minorHAnsi" w:cstheme="minorHAnsi"/>
        </w:rPr>
      </w:pPr>
      <w:r w:rsidRPr="00F91623">
        <w:rPr>
          <w:rFonts w:asciiTheme="minorHAnsi" w:hAnsiTheme="minorHAnsi" w:cstheme="minorHAnsi"/>
        </w:rPr>
        <w:t>3.2.3</w:t>
      </w:r>
      <w:r w:rsidRPr="00F91623">
        <w:rPr>
          <w:rFonts w:asciiTheme="minorHAnsi" w:hAnsiTheme="minorHAnsi" w:cstheme="minorHAnsi"/>
        </w:rPr>
        <w:tab/>
        <w:t>If correction factors are available, marine litter data from different national fisheries surveys can be aggregated and/or compared between OSPAR and MSFD regions.</w:t>
      </w:r>
    </w:p>
    <w:p w14:paraId="1A6AABA2" w14:textId="768F83BE" w:rsidR="00C80A74" w:rsidRPr="00F91623" w:rsidRDefault="00C80A74" w:rsidP="00C80A74">
      <w:pPr>
        <w:rPr>
          <w:rFonts w:asciiTheme="minorHAnsi" w:hAnsiTheme="minorHAnsi" w:cstheme="minorHAnsi"/>
        </w:rPr>
      </w:pPr>
      <w:r w:rsidRPr="00F91623">
        <w:rPr>
          <w:rFonts w:asciiTheme="minorHAnsi" w:hAnsiTheme="minorHAnsi" w:cstheme="minorHAnsi"/>
          <w:noProof/>
          <w:lang w:val="es-ES" w:eastAsia="es-ES"/>
        </w:rPr>
        <mc:AlternateContent>
          <mc:Choice Requires="wps">
            <w:drawing>
              <wp:inline distT="0" distB="0" distL="0" distR="0" wp14:anchorId="1C3EFED5" wp14:editId="37C2EDFF">
                <wp:extent cx="6120130" cy="2106062"/>
                <wp:effectExtent l="0" t="0" r="1397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06062"/>
                        </a:xfrm>
                        <a:prstGeom prst="rect">
                          <a:avLst/>
                        </a:prstGeom>
                        <a:solidFill>
                          <a:srgbClr val="FFFFFF"/>
                        </a:solidFill>
                        <a:ln w="9525">
                          <a:solidFill>
                            <a:srgbClr val="000000"/>
                          </a:solidFill>
                          <a:miter lim="800000"/>
                          <a:headEnd/>
                          <a:tailEnd/>
                        </a:ln>
                      </wps:spPr>
                      <wps:txbx>
                        <w:txbxContent>
                          <w:p w14:paraId="6B66163B" w14:textId="77777777" w:rsidR="00651037" w:rsidRPr="00F91623" w:rsidRDefault="00651037" w:rsidP="00C80A74">
                            <w:pPr>
                              <w:ind w:left="360"/>
                              <w:rPr>
                                <w:rFonts w:asciiTheme="minorHAnsi" w:hAnsiTheme="minorHAnsi" w:cstheme="minorHAnsi"/>
                              </w:rPr>
                            </w:pPr>
                            <w:r w:rsidRPr="00F91623">
                              <w:rPr>
                                <w:rFonts w:asciiTheme="minorHAnsi" w:hAnsiTheme="minorHAnsi" w:cstheme="minorHAnsi"/>
                              </w:rPr>
                              <w:t xml:space="preserve">An overview of existing trawl surveys in OSPAR and MSFD regions can be found here: </w:t>
                            </w:r>
                            <w:hyperlink r:id="rId14" w:history="1">
                              <w:r w:rsidRPr="00F91623">
                                <w:rPr>
                                  <w:rStyle w:val="Hipervnculo"/>
                                  <w:rFonts w:asciiTheme="minorHAnsi" w:hAnsiTheme="minorHAnsi" w:cstheme="minorHAnsi"/>
                                </w:rPr>
                                <w:t>https://datras.ices.dk/Data_products/Download/Download_Data_public.aspx</w:t>
                              </w:r>
                            </w:hyperlink>
                            <w:r w:rsidRPr="00F91623">
                              <w:rPr>
                                <w:rFonts w:asciiTheme="minorHAnsi" w:hAnsiTheme="minorHAnsi" w:cstheme="minorHAnsi"/>
                              </w:rPr>
                              <w:t xml:space="preserve"> </w:t>
                            </w:r>
                          </w:p>
                          <w:p w14:paraId="466FCDEB" w14:textId="77777777" w:rsidR="00651037" w:rsidRPr="00F91623" w:rsidRDefault="00651037" w:rsidP="00C80A74">
                            <w:pPr>
                              <w:ind w:left="360"/>
                              <w:rPr>
                                <w:rFonts w:asciiTheme="minorHAnsi" w:hAnsiTheme="minorHAnsi" w:cstheme="minorHAnsi"/>
                              </w:rPr>
                            </w:pPr>
                            <w:r w:rsidRPr="00F91623">
                              <w:rPr>
                                <w:rFonts w:asciiTheme="minorHAnsi" w:hAnsiTheme="minorHAnsi" w:cstheme="minorHAnsi"/>
                              </w:rPr>
                              <w:t>A Summary of International Bottom Trawl Surveys (IBTS) cruises in Western Europe can also be found in the EU “</w:t>
                            </w:r>
                            <w:r w:rsidRPr="00F91623">
                              <w:rPr>
                                <w:rFonts w:asciiTheme="minorHAnsi" w:hAnsiTheme="minorHAnsi" w:cstheme="minorHAnsi"/>
                                <w:lang w:eastAsia="en-GB"/>
                              </w:rPr>
                              <w:t>Technical Recommendations for the Implementation of MSFD Requirements” document at Table 2, page 27:</w:t>
                            </w:r>
                          </w:p>
                          <w:p w14:paraId="69A5061D" w14:textId="3AD16B50" w:rsidR="00651037" w:rsidRPr="00F91623" w:rsidRDefault="003D1EDC" w:rsidP="00F91623">
                            <w:pPr>
                              <w:ind w:left="360"/>
                              <w:rPr>
                                <w:rFonts w:asciiTheme="minorHAnsi" w:hAnsiTheme="minorHAnsi" w:cstheme="minorHAnsi"/>
                              </w:rPr>
                            </w:pPr>
                            <w:hyperlink r:id="rId15" w:history="1">
                              <w:r w:rsidR="00651037" w:rsidRPr="00F91623">
                                <w:rPr>
                                  <w:rStyle w:val="Hipervnculo"/>
                                  <w:rFonts w:asciiTheme="minorHAnsi" w:hAnsiTheme="minorHAnsi" w:cstheme="minorHAnsi"/>
                                </w:rPr>
                                <w:t>http://publications.jrc.ec.europa.eu/repository/bitstream/JRC67300/msfd_ges_tsg_marine_litter_report_eur_25009_en_online_version.pdf</w:t>
                              </w:r>
                            </w:hyperlink>
                            <w:r w:rsidR="00651037" w:rsidRPr="00F91623">
                              <w:rPr>
                                <w:rFonts w:asciiTheme="minorHAnsi" w:hAnsiTheme="minorHAnsi" w:cstheme="minorHAnsi"/>
                              </w:rPr>
                              <w:t xml:space="preserve"> </w:t>
                            </w:r>
                          </w:p>
                        </w:txbxContent>
                      </wps:txbx>
                      <wps:bodyPr rot="0" vert="horz" wrap="square" lIns="91440" tIns="45720" rIns="91440" bIns="45720" anchor="t" anchorCtr="0">
                        <a:spAutoFit/>
                      </wps:bodyPr>
                    </wps:wsp>
                  </a:graphicData>
                </a:graphic>
              </wp:inline>
            </w:drawing>
          </mc:Choice>
          <mc:Fallback>
            <w:pict>
              <v:shapetype w14:anchorId="1C3EFED5" id="_x0000_t202" coordsize="21600,21600" o:spt="202" path="m,l,21600r21600,l21600,xe">
                <v:stroke joinstyle="miter"/>
                <v:path gradientshapeok="t" o:connecttype="rect"/>
              </v:shapetype>
              <v:shape id="Text Box 2" o:spid="_x0000_s1026" type="#_x0000_t202" style="width:481.9pt;height:1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">
                <v:textbox style="mso-fit-shape-to-text:t">
                  <w:txbxContent>
                    <w:p w14:paraId="6B66163B" w14:textId="77777777" w:rsidR="00651037" w:rsidRPr="00F91623" w:rsidRDefault="00651037" w:rsidP="00C80A74">
                      <w:pPr>
                        <w:ind w:left="360"/>
                        <w:rPr>
                          <w:rFonts w:asciiTheme="minorHAnsi" w:hAnsiTheme="minorHAnsi" w:cstheme="minorHAnsi"/>
                        </w:rPr>
                      </w:pPr>
                      <w:r w:rsidRPr="00F91623">
                        <w:rPr>
                          <w:rFonts w:asciiTheme="minorHAnsi" w:hAnsiTheme="minorHAnsi" w:cstheme="minorHAnsi"/>
                        </w:rPr>
                        <w:t xml:space="preserve">An overview of existing trawl surveys in OSPAR and MSFD regions can be found here: </w:t>
                      </w:r>
                      <w:hyperlink r:id="rId16" w:history="1">
                        <w:r w:rsidRPr="00F91623">
                          <w:rPr>
                            <w:rStyle w:val="Hipervnculo"/>
                            <w:rFonts w:asciiTheme="minorHAnsi" w:hAnsiTheme="minorHAnsi" w:cstheme="minorHAnsi"/>
                          </w:rPr>
                          <w:t>https://datras.ices.dk/Data_products/Download/Download_Data_public.aspx</w:t>
                        </w:r>
                      </w:hyperlink>
                      <w:r w:rsidRPr="00F91623">
                        <w:rPr>
                          <w:rFonts w:asciiTheme="minorHAnsi" w:hAnsiTheme="minorHAnsi" w:cstheme="minorHAnsi"/>
                        </w:rPr>
                        <w:t xml:space="preserve"> </w:t>
                      </w:r>
                    </w:p>
                    <w:p w14:paraId="466FCDEB" w14:textId="77777777" w:rsidR="00651037" w:rsidRPr="00F91623" w:rsidRDefault="00651037" w:rsidP="00C80A74">
                      <w:pPr>
                        <w:ind w:left="360"/>
                        <w:rPr>
                          <w:rFonts w:asciiTheme="minorHAnsi" w:hAnsiTheme="minorHAnsi" w:cstheme="minorHAnsi"/>
                        </w:rPr>
                      </w:pPr>
                      <w:r w:rsidRPr="00F91623">
                        <w:rPr>
                          <w:rFonts w:asciiTheme="minorHAnsi" w:hAnsiTheme="minorHAnsi" w:cstheme="minorHAnsi"/>
                        </w:rPr>
                        <w:t>A Summary of International Bottom Trawl Surveys (IBTS) cruises in Western Europe can also be found in the EU “</w:t>
                      </w:r>
                      <w:r w:rsidRPr="00F91623">
                        <w:rPr>
                          <w:rFonts w:asciiTheme="minorHAnsi" w:hAnsiTheme="minorHAnsi" w:cstheme="minorHAnsi"/>
                          <w:lang w:eastAsia="en-GB"/>
                        </w:rPr>
                        <w:t>Technical Recommendations for the Implementation of MSFD Requirements” document at Table 2, page 27:</w:t>
                      </w:r>
                    </w:p>
                    <w:p w14:paraId="69A5061D" w14:textId="3AD16B50" w:rsidR="00651037" w:rsidRPr="00F91623" w:rsidRDefault="003D1EDC" w:rsidP="00F91623">
                      <w:pPr>
                        <w:ind w:left="360"/>
                        <w:rPr>
                          <w:rFonts w:asciiTheme="minorHAnsi" w:hAnsiTheme="minorHAnsi" w:cstheme="minorHAnsi"/>
                        </w:rPr>
                      </w:pPr>
                      <w:hyperlink r:id="rId17" w:history="1">
                        <w:r w:rsidR="00651037" w:rsidRPr="00F91623">
                          <w:rPr>
                            <w:rStyle w:val="Hipervnculo"/>
                            <w:rFonts w:asciiTheme="minorHAnsi" w:hAnsiTheme="minorHAnsi" w:cstheme="minorHAnsi"/>
                          </w:rPr>
                          <w:t>http://publications.jrc.ec.europa.eu/repository/bitstream/JRC67300/msfd_ges_tsg_marine_litter_report_eur_25009_en_online_version.pdf</w:t>
                        </w:r>
                      </w:hyperlink>
                      <w:r w:rsidR="00651037" w:rsidRPr="00F91623">
                        <w:rPr>
                          <w:rFonts w:asciiTheme="minorHAnsi" w:hAnsiTheme="minorHAnsi" w:cstheme="minorHAnsi"/>
                        </w:rPr>
                        <w:t xml:space="preserve"> </w:t>
                      </w:r>
                    </w:p>
                  </w:txbxContent>
                </v:textbox>
                <w10:anchorlock/>
              </v:shape>
            </w:pict>
          </mc:Fallback>
        </mc:AlternateContent>
      </w:r>
    </w:p>
    <w:p w14:paraId="094716EF" w14:textId="77777777" w:rsidR="00C80A74" w:rsidRPr="00F91623" w:rsidRDefault="00C80A74" w:rsidP="00C80A74">
      <w:pPr>
        <w:rPr>
          <w:rFonts w:asciiTheme="minorHAnsi" w:hAnsiTheme="minorHAnsi" w:cstheme="minorHAnsi"/>
          <w:sz w:val="24"/>
          <w:szCs w:val="24"/>
        </w:rPr>
      </w:pPr>
      <w:r w:rsidRPr="00F91623">
        <w:rPr>
          <w:rFonts w:asciiTheme="minorHAnsi" w:hAnsiTheme="minorHAnsi" w:cstheme="minorHAnsi"/>
          <w:sz w:val="24"/>
          <w:szCs w:val="24"/>
        </w:rPr>
        <w:t>3.3</w:t>
      </w:r>
      <w:r w:rsidRPr="00F91623">
        <w:rPr>
          <w:rFonts w:asciiTheme="minorHAnsi" w:hAnsiTheme="minorHAnsi" w:cstheme="minorHAnsi"/>
          <w:sz w:val="24"/>
          <w:szCs w:val="24"/>
        </w:rPr>
        <w:tab/>
        <w:t>Assessment criteria</w:t>
      </w:r>
    </w:p>
    <w:p w14:paraId="07478154" w14:textId="77777777" w:rsidR="00C80A74" w:rsidRPr="00F91623" w:rsidRDefault="00C80A74" w:rsidP="00C80A74">
      <w:pPr>
        <w:autoSpaceDE w:val="0"/>
        <w:autoSpaceDN w:val="0"/>
        <w:adjustRightInd w:val="0"/>
        <w:spacing w:after="0"/>
        <w:rPr>
          <w:rFonts w:asciiTheme="minorHAnsi" w:hAnsiTheme="minorHAnsi" w:cstheme="minorHAnsi"/>
        </w:rPr>
      </w:pPr>
      <w:r w:rsidRPr="00F91623">
        <w:rPr>
          <w:rFonts w:asciiTheme="minorHAnsi" w:hAnsiTheme="minorHAnsi" w:cstheme="minorHAnsi"/>
        </w:rPr>
        <w:t xml:space="preserve">3.3.1 There are currently no assessment criteria available for seafloor litter assessments. Baseline values, which can serve as a basis for comparison with the subsequently acquired data are given below. The values set out in this document do not represent target values or legal standards under the OSPAR Convention and should not be used as such. The use of this set of criteria is considered an interim solution for the purposes of the intermediate assessment in 2017 until more appropriate approaches to defining certain assessment criteria can be agreed upon and implemented, taking into account, </w:t>
      </w:r>
      <w:r w:rsidRPr="00F91623">
        <w:rPr>
          <w:rFonts w:asciiTheme="minorHAnsi" w:hAnsiTheme="minorHAnsi" w:cstheme="minorHAnsi"/>
          <w:i/>
          <w:iCs/>
        </w:rPr>
        <w:t xml:space="preserve">inter alia, </w:t>
      </w:r>
      <w:r w:rsidRPr="00F91623">
        <w:rPr>
          <w:rFonts w:asciiTheme="minorHAnsi" w:hAnsiTheme="minorHAnsi" w:cstheme="minorHAnsi"/>
        </w:rPr>
        <w:t>the requirements of the EC Marine Strategy Framework Directive.</w:t>
      </w:r>
    </w:p>
    <w:p w14:paraId="5D393753" w14:textId="77777777" w:rsidR="00C80A74" w:rsidRPr="00F91623" w:rsidRDefault="00C80A74" w:rsidP="00C80A74">
      <w:pPr>
        <w:autoSpaceDE w:val="0"/>
        <w:autoSpaceDN w:val="0"/>
        <w:adjustRightInd w:val="0"/>
        <w:spacing w:after="0"/>
        <w:rPr>
          <w:rFonts w:asciiTheme="minorHAnsi" w:hAnsiTheme="minorHAnsi" w:cstheme="minorHAnsi"/>
        </w:rPr>
      </w:pPr>
    </w:p>
    <w:p w14:paraId="770C53C0" w14:textId="77777777" w:rsidR="00C80A74" w:rsidRPr="00F91623" w:rsidRDefault="00C80A74" w:rsidP="00C80A74">
      <w:pPr>
        <w:pStyle w:val="Prrafodelista"/>
        <w:numPr>
          <w:ilvl w:val="0"/>
          <w:numId w:val="32"/>
        </w:numPr>
        <w:jc w:val="both"/>
        <w:rPr>
          <w:rFonts w:asciiTheme="minorHAnsi" w:hAnsiTheme="minorHAnsi" w:cstheme="minorHAnsi"/>
          <w:i/>
        </w:rPr>
      </w:pPr>
      <w:r w:rsidRPr="00F91623">
        <w:rPr>
          <w:rFonts w:asciiTheme="minorHAnsi" w:hAnsiTheme="minorHAnsi" w:cstheme="minorHAnsi"/>
          <w:i/>
        </w:rPr>
        <w:t>Defining assessment unit/scale (Temporal and spatial)</w:t>
      </w:r>
    </w:p>
    <w:p w14:paraId="2EF5DC78" w14:textId="77777777" w:rsidR="00C80A74" w:rsidRPr="00F91623" w:rsidRDefault="00C80A74" w:rsidP="00C80A74">
      <w:pPr>
        <w:pStyle w:val="Prrafodelista"/>
        <w:jc w:val="both"/>
        <w:rPr>
          <w:rFonts w:asciiTheme="minorHAnsi" w:hAnsiTheme="minorHAnsi" w:cstheme="minorHAnsi"/>
        </w:rPr>
      </w:pPr>
      <w:r w:rsidRPr="00F91623">
        <w:rPr>
          <w:rFonts w:asciiTheme="minorHAnsi" w:hAnsiTheme="minorHAnsi" w:cstheme="minorHAnsi"/>
        </w:rPr>
        <w:t>Yearly in all OSPAR and MSFD regions with long term seafloor litter data</w:t>
      </w:r>
    </w:p>
    <w:p w14:paraId="2917BAD7" w14:textId="77777777" w:rsidR="00C80A74" w:rsidRPr="00F91623" w:rsidRDefault="00C80A74" w:rsidP="00C80A74">
      <w:pPr>
        <w:pStyle w:val="Prrafodelista"/>
        <w:numPr>
          <w:ilvl w:val="0"/>
          <w:numId w:val="32"/>
        </w:numPr>
        <w:jc w:val="both"/>
        <w:rPr>
          <w:rFonts w:asciiTheme="minorHAnsi" w:hAnsiTheme="minorHAnsi" w:cstheme="minorHAnsi"/>
          <w:i/>
        </w:rPr>
      </w:pPr>
      <w:r w:rsidRPr="00F91623">
        <w:rPr>
          <w:rFonts w:asciiTheme="minorHAnsi" w:hAnsiTheme="minorHAnsi" w:cstheme="minorHAnsi"/>
          <w:i/>
        </w:rPr>
        <w:t>Baseline/ reference level:</w:t>
      </w:r>
    </w:p>
    <w:p w14:paraId="0E679C61" w14:textId="77777777" w:rsidR="00C80A74" w:rsidRPr="00F91623" w:rsidRDefault="00C80A74" w:rsidP="00C80A74">
      <w:pPr>
        <w:pStyle w:val="Prrafodelista"/>
        <w:spacing w:before="40" w:after="40"/>
        <w:jc w:val="both"/>
        <w:rPr>
          <w:rFonts w:asciiTheme="minorHAnsi" w:hAnsiTheme="minorHAnsi" w:cstheme="minorHAnsi"/>
        </w:rPr>
      </w:pPr>
      <w:r w:rsidRPr="00F91623">
        <w:rPr>
          <w:rFonts w:asciiTheme="minorHAnsi" w:hAnsiTheme="minorHAnsi" w:cstheme="minorHAnsi"/>
        </w:rPr>
        <w:t xml:space="preserve">Widespread distribution of litter items, especially plastics, was discovered on the seabed of the Greater North Sea, the Celtic Sea, the Bay of Biscay, the Iberian Coast and the Gulf of Cadiz. </w:t>
      </w:r>
    </w:p>
    <w:p w14:paraId="37E6F9A6" w14:textId="77777777" w:rsidR="00C80A74" w:rsidRPr="00F91623" w:rsidRDefault="00C80A74" w:rsidP="00C80A74">
      <w:pPr>
        <w:pStyle w:val="Prrafodelista"/>
        <w:jc w:val="both"/>
        <w:rPr>
          <w:rFonts w:asciiTheme="minorHAnsi" w:hAnsiTheme="minorHAnsi" w:cstheme="minorHAnsi"/>
          <w:i/>
        </w:rPr>
      </w:pPr>
    </w:p>
    <w:p w14:paraId="330428ED" w14:textId="77777777" w:rsidR="00C80A74" w:rsidRPr="00F91623" w:rsidRDefault="00C80A74" w:rsidP="00C80A74">
      <w:pPr>
        <w:pStyle w:val="Prrafodelista"/>
        <w:jc w:val="both"/>
        <w:rPr>
          <w:rFonts w:asciiTheme="minorHAnsi" w:hAnsiTheme="minorHAnsi" w:cstheme="minorHAnsi"/>
          <w:i/>
        </w:rPr>
      </w:pPr>
      <w:r w:rsidRPr="00F91623">
        <w:rPr>
          <w:rFonts w:asciiTheme="minorHAnsi" w:hAnsiTheme="minorHAnsi" w:cstheme="minorHAnsi"/>
          <w:i/>
        </w:rPr>
        <w:t xml:space="preserve">Baseline values for the Greater North Sea in 2012: </w:t>
      </w:r>
    </w:p>
    <w:p w14:paraId="41A2DAD9" w14:textId="77777777" w:rsidR="00C80A74" w:rsidRPr="00F91623" w:rsidRDefault="00C80A74" w:rsidP="00C80A74">
      <w:pPr>
        <w:pStyle w:val="Prrafodelista"/>
        <w:numPr>
          <w:ilvl w:val="1"/>
          <w:numId w:val="33"/>
        </w:numPr>
        <w:jc w:val="both"/>
        <w:rPr>
          <w:rFonts w:asciiTheme="minorHAnsi" w:hAnsiTheme="minorHAnsi" w:cstheme="minorHAnsi"/>
          <w:i/>
        </w:rPr>
      </w:pPr>
      <w:r w:rsidRPr="00F91623">
        <w:rPr>
          <w:rFonts w:asciiTheme="minorHAnsi" w:hAnsiTheme="minorHAnsi" w:cstheme="minorHAnsi"/>
          <w:i/>
        </w:rPr>
        <w:t xml:space="preserve">Total items: </w:t>
      </w:r>
      <w:r w:rsidRPr="00F91623">
        <w:rPr>
          <w:rFonts w:asciiTheme="minorHAnsi" w:hAnsiTheme="minorHAnsi" w:cstheme="minorHAnsi"/>
          <w:lang w:eastAsia="en-GB"/>
        </w:rPr>
        <w:t>28.842 (25.08,32.604) items/km2</w:t>
      </w:r>
    </w:p>
    <w:p w14:paraId="1FB28D00" w14:textId="77777777" w:rsidR="00C80A74" w:rsidRPr="00F91623" w:rsidRDefault="00C80A74" w:rsidP="00C80A74">
      <w:pPr>
        <w:pStyle w:val="Prrafodelista"/>
        <w:numPr>
          <w:ilvl w:val="1"/>
          <w:numId w:val="33"/>
        </w:numPr>
        <w:jc w:val="both"/>
        <w:rPr>
          <w:rFonts w:asciiTheme="minorHAnsi" w:hAnsiTheme="minorHAnsi" w:cstheme="minorHAnsi"/>
          <w:i/>
        </w:rPr>
      </w:pPr>
      <w:r w:rsidRPr="00F91623">
        <w:rPr>
          <w:rFonts w:asciiTheme="minorHAnsi" w:hAnsiTheme="minorHAnsi" w:cstheme="minorHAnsi"/>
          <w:i/>
        </w:rPr>
        <w:t>Plastic items:</w:t>
      </w:r>
      <w:r w:rsidRPr="00F91623">
        <w:rPr>
          <w:rFonts w:asciiTheme="minorHAnsi" w:hAnsiTheme="minorHAnsi" w:cstheme="minorHAnsi"/>
          <w:lang w:eastAsia="en-GB"/>
        </w:rPr>
        <w:t xml:space="preserve"> 17.974 (15.466,20.064) items/km2</w:t>
      </w:r>
    </w:p>
    <w:p w14:paraId="1FD80E7F" w14:textId="77777777" w:rsidR="00C80A74" w:rsidRPr="00F91623" w:rsidRDefault="00C80A74" w:rsidP="00C80A74">
      <w:pPr>
        <w:pStyle w:val="Prrafodelista"/>
        <w:jc w:val="both"/>
        <w:rPr>
          <w:rFonts w:asciiTheme="minorHAnsi" w:hAnsiTheme="minorHAnsi" w:cstheme="minorHAnsi"/>
          <w:i/>
        </w:rPr>
      </w:pPr>
    </w:p>
    <w:p w14:paraId="3EB0DB47" w14:textId="77777777" w:rsidR="00C80A74" w:rsidRPr="00F91623" w:rsidRDefault="00C80A74" w:rsidP="00C80A74">
      <w:pPr>
        <w:pStyle w:val="Prrafodelista"/>
        <w:jc w:val="both"/>
        <w:rPr>
          <w:rFonts w:asciiTheme="minorHAnsi" w:hAnsiTheme="minorHAnsi" w:cstheme="minorHAnsi"/>
          <w:i/>
        </w:rPr>
      </w:pPr>
      <w:r w:rsidRPr="00F91623">
        <w:rPr>
          <w:rFonts w:asciiTheme="minorHAnsi" w:hAnsiTheme="minorHAnsi" w:cstheme="minorHAnsi"/>
          <w:i/>
        </w:rPr>
        <w:t>Baseline values for the Celtic Sea in 2012:</w:t>
      </w:r>
    </w:p>
    <w:p w14:paraId="21D91507" w14:textId="77777777" w:rsidR="00C80A74" w:rsidRPr="00F91623" w:rsidRDefault="00C80A74" w:rsidP="00C80A74">
      <w:pPr>
        <w:pStyle w:val="Prrafodelista"/>
        <w:numPr>
          <w:ilvl w:val="1"/>
          <w:numId w:val="33"/>
        </w:numPr>
        <w:jc w:val="both"/>
        <w:rPr>
          <w:rFonts w:asciiTheme="minorHAnsi" w:hAnsiTheme="minorHAnsi" w:cstheme="minorHAnsi"/>
          <w:i/>
        </w:rPr>
      </w:pPr>
      <w:r w:rsidRPr="00F91623">
        <w:rPr>
          <w:rFonts w:asciiTheme="minorHAnsi" w:hAnsiTheme="minorHAnsi" w:cstheme="minorHAnsi"/>
          <w:i/>
        </w:rPr>
        <w:t xml:space="preserve">Total items: </w:t>
      </w:r>
      <w:r w:rsidRPr="00F91623">
        <w:rPr>
          <w:rFonts w:asciiTheme="minorHAnsi" w:hAnsiTheme="minorHAnsi" w:cstheme="minorHAnsi"/>
          <w:lang w:eastAsia="en-GB"/>
        </w:rPr>
        <w:t>13.794 (10.868,16.72) items/km2</w:t>
      </w:r>
    </w:p>
    <w:p w14:paraId="2008660B" w14:textId="77777777" w:rsidR="00C80A74" w:rsidRPr="00F91623" w:rsidRDefault="00C80A74" w:rsidP="00C80A74">
      <w:pPr>
        <w:pStyle w:val="Prrafodelista"/>
        <w:numPr>
          <w:ilvl w:val="1"/>
          <w:numId w:val="33"/>
        </w:numPr>
        <w:jc w:val="both"/>
        <w:rPr>
          <w:rFonts w:asciiTheme="minorHAnsi" w:hAnsiTheme="minorHAnsi" w:cstheme="minorHAnsi"/>
          <w:i/>
        </w:rPr>
      </w:pPr>
      <w:r w:rsidRPr="00F91623">
        <w:rPr>
          <w:rFonts w:asciiTheme="minorHAnsi" w:hAnsiTheme="minorHAnsi" w:cstheme="minorHAnsi"/>
          <w:i/>
        </w:rPr>
        <w:t xml:space="preserve">Plastic items: </w:t>
      </w:r>
      <w:r w:rsidRPr="00F91623">
        <w:rPr>
          <w:rFonts w:asciiTheme="minorHAnsi" w:hAnsiTheme="minorHAnsi" w:cstheme="minorHAnsi"/>
          <w:lang w:eastAsia="en-GB"/>
        </w:rPr>
        <w:t>11.704 (9.196,14.212) items/km2</w:t>
      </w:r>
    </w:p>
    <w:p w14:paraId="7D3F65D2" w14:textId="77777777" w:rsidR="00C80A74" w:rsidRPr="00F91623" w:rsidRDefault="00C80A74" w:rsidP="00C80A74">
      <w:pPr>
        <w:pStyle w:val="Prrafodelista"/>
        <w:jc w:val="both"/>
        <w:rPr>
          <w:rFonts w:asciiTheme="minorHAnsi" w:hAnsiTheme="minorHAnsi" w:cstheme="minorHAnsi"/>
          <w:i/>
        </w:rPr>
      </w:pPr>
    </w:p>
    <w:p w14:paraId="0432217A" w14:textId="77777777" w:rsidR="00C80A74" w:rsidRPr="00F91623" w:rsidRDefault="00C80A74" w:rsidP="00C80A74">
      <w:pPr>
        <w:pStyle w:val="Prrafodelista"/>
        <w:jc w:val="both"/>
        <w:rPr>
          <w:rFonts w:asciiTheme="minorHAnsi" w:hAnsiTheme="minorHAnsi" w:cstheme="minorHAnsi"/>
          <w:i/>
        </w:rPr>
      </w:pPr>
      <w:r w:rsidRPr="00F91623">
        <w:rPr>
          <w:rFonts w:asciiTheme="minorHAnsi" w:hAnsiTheme="minorHAnsi" w:cstheme="minorHAnsi"/>
          <w:i/>
        </w:rPr>
        <w:t>Baseline values for the Bay of Biscay in 2013:</w:t>
      </w:r>
    </w:p>
    <w:p w14:paraId="123B0649" w14:textId="77777777" w:rsidR="00C80A74" w:rsidRPr="00F91623" w:rsidRDefault="00C80A74" w:rsidP="00C80A74">
      <w:pPr>
        <w:pStyle w:val="Prrafodelista"/>
        <w:numPr>
          <w:ilvl w:val="1"/>
          <w:numId w:val="33"/>
        </w:numPr>
        <w:jc w:val="both"/>
        <w:rPr>
          <w:rFonts w:asciiTheme="minorHAnsi" w:hAnsiTheme="minorHAnsi" w:cstheme="minorHAnsi"/>
          <w:i/>
        </w:rPr>
      </w:pPr>
      <w:r w:rsidRPr="00F91623">
        <w:rPr>
          <w:rFonts w:asciiTheme="minorHAnsi" w:hAnsiTheme="minorHAnsi" w:cstheme="minorHAnsi"/>
          <w:i/>
        </w:rPr>
        <w:t xml:space="preserve">Total items: </w:t>
      </w:r>
      <w:r w:rsidRPr="00F91623">
        <w:rPr>
          <w:rFonts w:asciiTheme="minorHAnsi" w:hAnsiTheme="minorHAnsi" w:cstheme="minorHAnsi"/>
          <w:lang w:eastAsia="en-GB"/>
        </w:rPr>
        <w:t>96.14 (78.166,115.786) items/km2</w:t>
      </w:r>
    </w:p>
    <w:p w14:paraId="7D6CE480" w14:textId="77777777" w:rsidR="00C80A74" w:rsidRPr="00F91623" w:rsidRDefault="00C80A74" w:rsidP="00C80A74">
      <w:pPr>
        <w:pStyle w:val="Prrafodelista"/>
        <w:numPr>
          <w:ilvl w:val="1"/>
          <w:numId w:val="33"/>
        </w:numPr>
        <w:jc w:val="both"/>
        <w:rPr>
          <w:rFonts w:asciiTheme="minorHAnsi" w:hAnsiTheme="minorHAnsi" w:cstheme="minorHAnsi"/>
          <w:i/>
        </w:rPr>
      </w:pPr>
      <w:r w:rsidRPr="00F91623">
        <w:rPr>
          <w:rFonts w:asciiTheme="minorHAnsi" w:hAnsiTheme="minorHAnsi" w:cstheme="minorHAnsi"/>
          <w:i/>
        </w:rPr>
        <w:t xml:space="preserve">Plastic items: </w:t>
      </w:r>
      <w:r w:rsidRPr="00F91623">
        <w:rPr>
          <w:rFonts w:asciiTheme="minorHAnsi" w:hAnsiTheme="minorHAnsi" w:cstheme="minorHAnsi"/>
          <w:lang w:eastAsia="en-GB"/>
        </w:rPr>
        <w:t>75.658 (62.7,88.198) items/km2</w:t>
      </w:r>
    </w:p>
    <w:p w14:paraId="5586F55D" w14:textId="77777777" w:rsidR="00C80A74" w:rsidRPr="00F91623" w:rsidRDefault="00C80A74" w:rsidP="00C80A74">
      <w:pPr>
        <w:pStyle w:val="Prrafodelista"/>
        <w:jc w:val="both"/>
        <w:rPr>
          <w:rFonts w:asciiTheme="minorHAnsi" w:hAnsiTheme="minorHAnsi" w:cstheme="minorHAnsi"/>
          <w:i/>
        </w:rPr>
      </w:pPr>
    </w:p>
    <w:p w14:paraId="357FDC29" w14:textId="77777777" w:rsidR="00C80A74" w:rsidRPr="00F91623" w:rsidRDefault="00C80A74" w:rsidP="00C80A74">
      <w:pPr>
        <w:pStyle w:val="Prrafodelista"/>
        <w:jc w:val="both"/>
        <w:rPr>
          <w:rFonts w:asciiTheme="minorHAnsi" w:hAnsiTheme="minorHAnsi" w:cstheme="minorHAnsi"/>
        </w:rPr>
      </w:pPr>
      <w:r w:rsidRPr="00F91623">
        <w:rPr>
          <w:rFonts w:asciiTheme="minorHAnsi" w:hAnsiTheme="minorHAnsi" w:cstheme="minorHAnsi"/>
          <w:i/>
        </w:rPr>
        <w:t xml:space="preserve">Baseline values for  </w:t>
      </w:r>
      <w:r w:rsidRPr="00F91623">
        <w:rPr>
          <w:rFonts w:asciiTheme="minorHAnsi" w:hAnsiTheme="minorHAnsi" w:cstheme="minorHAnsi"/>
        </w:rPr>
        <w:t>the Iberian Coast and Golf of Cadiz in 2013</w:t>
      </w:r>
    </w:p>
    <w:p w14:paraId="052DCF8A" w14:textId="77777777" w:rsidR="00C80A74" w:rsidRPr="00F91623" w:rsidRDefault="00C80A74" w:rsidP="00C80A74">
      <w:pPr>
        <w:pStyle w:val="Prrafodelista"/>
        <w:numPr>
          <w:ilvl w:val="1"/>
          <w:numId w:val="33"/>
        </w:numPr>
        <w:jc w:val="both"/>
        <w:rPr>
          <w:rFonts w:asciiTheme="minorHAnsi" w:hAnsiTheme="minorHAnsi" w:cstheme="minorHAnsi"/>
          <w:i/>
        </w:rPr>
      </w:pPr>
      <w:r w:rsidRPr="00F91623">
        <w:rPr>
          <w:rFonts w:asciiTheme="minorHAnsi" w:hAnsiTheme="minorHAnsi" w:cstheme="minorHAnsi"/>
          <w:i/>
        </w:rPr>
        <w:t xml:space="preserve">Total items: </w:t>
      </w:r>
      <w:r w:rsidRPr="00F91623">
        <w:rPr>
          <w:rFonts w:asciiTheme="minorHAnsi" w:hAnsiTheme="minorHAnsi" w:cstheme="minorHAnsi"/>
          <w:lang w:eastAsia="en-GB"/>
        </w:rPr>
        <w:t>190.1 (143.5,245.76) items/km2</w:t>
      </w:r>
    </w:p>
    <w:p w14:paraId="497F8EEA" w14:textId="77777777" w:rsidR="00C80A74" w:rsidRPr="00F91623" w:rsidRDefault="00C80A74" w:rsidP="00C80A74">
      <w:pPr>
        <w:pStyle w:val="Prrafodelista"/>
        <w:numPr>
          <w:ilvl w:val="1"/>
          <w:numId w:val="33"/>
        </w:numPr>
        <w:jc w:val="both"/>
        <w:rPr>
          <w:rFonts w:asciiTheme="minorHAnsi" w:hAnsiTheme="minorHAnsi" w:cstheme="minorHAnsi"/>
          <w:i/>
        </w:rPr>
      </w:pPr>
      <w:r w:rsidRPr="00F91623">
        <w:rPr>
          <w:rFonts w:asciiTheme="minorHAnsi" w:hAnsiTheme="minorHAnsi" w:cstheme="minorHAnsi"/>
          <w:i/>
        </w:rPr>
        <w:t xml:space="preserve">Plastic items: </w:t>
      </w:r>
      <w:r w:rsidRPr="00F91623">
        <w:rPr>
          <w:rFonts w:asciiTheme="minorHAnsi" w:hAnsiTheme="minorHAnsi" w:cstheme="minorHAnsi"/>
          <w:lang w:eastAsia="en-GB"/>
        </w:rPr>
        <w:t>113.2 (89.8,139.2) items/km2</w:t>
      </w:r>
    </w:p>
    <w:p w14:paraId="3D9A802C" w14:textId="77777777" w:rsidR="00C80A74" w:rsidRPr="00F91623" w:rsidRDefault="00C80A74" w:rsidP="00C80A74">
      <w:pPr>
        <w:pStyle w:val="Prrafodelista"/>
        <w:jc w:val="both"/>
        <w:rPr>
          <w:rFonts w:asciiTheme="minorHAnsi" w:hAnsiTheme="minorHAnsi" w:cstheme="minorHAnsi"/>
          <w:i/>
          <w:sz w:val="24"/>
          <w:szCs w:val="24"/>
        </w:rPr>
      </w:pPr>
    </w:p>
    <w:p w14:paraId="6B33F7AA" w14:textId="77777777" w:rsidR="00C80A74" w:rsidRPr="00F91623" w:rsidRDefault="00C80A74" w:rsidP="00C80A74">
      <w:pPr>
        <w:rPr>
          <w:rFonts w:asciiTheme="minorHAnsi" w:hAnsiTheme="minorHAnsi" w:cstheme="minorHAnsi"/>
          <w:i/>
        </w:rPr>
      </w:pPr>
      <w:r w:rsidRPr="00F91623">
        <w:rPr>
          <w:rFonts w:asciiTheme="minorHAnsi" w:hAnsiTheme="minorHAnsi" w:cstheme="minorHAnsi"/>
          <w:i/>
        </w:rPr>
        <w:t>To be defined for OSPAR/MSFD Regions</w:t>
      </w:r>
    </w:p>
    <w:p w14:paraId="43B1333D" w14:textId="77777777" w:rsidR="00C80A74" w:rsidRPr="00F91623" w:rsidRDefault="00C80A74" w:rsidP="00C80A74">
      <w:pPr>
        <w:pStyle w:val="Prrafodelista"/>
        <w:numPr>
          <w:ilvl w:val="0"/>
          <w:numId w:val="32"/>
        </w:numPr>
        <w:jc w:val="both"/>
        <w:rPr>
          <w:rFonts w:asciiTheme="minorHAnsi" w:hAnsiTheme="minorHAnsi" w:cstheme="minorHAnsi"/>
        </w:rPr>
      </w:pPr>
      <w:r w:rsidRPr="00F91623">
        <w:rPr>
          <w:rFonts w:asciiTheme="minorHAnsi" w:hAnsiTheme="minorHAnsi" w:cstheme="minorHAnsi"/>
          <w:i/>
        </w:rPr>
        <w:t xml:space="preserve">Environmental target </w:t>
      </w:r>
    </w:p>
    <w:p w14:paraId="00077605" w14:textId="77777777" w:rsidR="00C80A74" w:rsidRPr="00F91623" w:rsidRDefault="00C80A74" w:rsidP="00C80A74">
      <w:pPr>
        <w:rPr>
          <w:rFonts w:asciiTheme="minorHAnsi" w:hAnsiTheme="minorHAnsi" w:cstheme="minorHAnsi"/>
        </w:rPr>
      </w:pPr>
      <w:r w:rsidRPr="00F91623">
        <w:rPr>
          <w:rFonts w:asciiTheme="minorHAnsi" w:hAnsiTheme="minorHAnsi" w:cstheme="minorHAnsi"/>
        </w:rPr>
        <w:t xml:space="preserve">This is set individually by Contracting Parties </w:t>
      </w:r>
    </w:p>
    <w:p w14:paraId="39473C8A" w14:textId="77777777" w:rsidR="00C80A74" w:rsidRPr="00F91623" w:rsidRDefault="00C80A74" w:rsidP="00C80A74">
      <w:pPr>
        <w:rPr>
          <w:rFonts w:asciiTheme="minorHAnsi" w:hAnsiTheme="minorHAnsi" w:cstheme="minorHAnsi"/>
        </w:rPr>
      </w:pPr>
      <w:r w:rsidRPr="00F91623">
        <w:rPr>
          <w:rFonts w:asciiTheme="minorHAnsi" w:hAnsiTheme="minorHAnsi" w:cstheme="minorHAnsi"/>
        </w:rPr>
        <w:t>Note: one should use the results of the power study to have an indication of detectable change in total amounts of litter.</w:t>
      </w:r>
    </w:p>
    <w:p w14:paraId="7CEA3FBD" w14:textId="77777777" w:rsidR="00C80A74" w:rsidRPr="00F91623" w:rsidRDefault="00C80A74" w:rsidP="00C80A74">
      <w:pPr>
        <w:rPr>
          <w:rFonts w:asciiTheme="minorHAnsi" w:hAnsiTheme="minorHAnsi" w:cstheme="minorHAnsi"/>
          <w:sz w:val="28"/>
          <w:szCs w:val="28"/>
        </w:rPr>
      </w:pPr>
      <w:r w:rsidRPr="00F91623">
        <w:rPr>
          <w:rFonts w:asciiTheme="minorHAnsi" w:hAnsiTheme="minorHAnsi" w:cstheme="minorHAnsi"/>
          <w:sz w:val="28"/>
          <w:szCs w:val="28"/>
        </w:rPr>
        <w:t>3.4</w:t>
      </w:r>
      <w:r w:rsidRPr="00F91623">
        <w:rPr>
          <w:rFonts w:asciiTheme="minorHAnsi" w:hAnsiTheme="minorHAnsi" w:cstheme="minorHAnsi"/>
          <w:sz w:val="28"/>
          <w:szCs w:val="28"/>
        </w:rPr>
        <w:tab/>
        <w:t>Spatial Analysis and / or trend analysis</w:t>
      </w:r>
    </w:p>
    <w:p w14:paraId="419C39AF" w14:textId="77777777" w:rsidR="00C80A74" w:rsidRPr="00F91623" w:rsidRDefault="00C80A74" w:rsidP="00C80A74">
      <w:pPr>
        <w:rPr>
          <w:rFonts w:asciiTheme="minorHAnsi" w:hAnsiTheme="minorHAnsi" w:cstheme="minorHAnsi"/>
        </w:rPr>
      </w:pPr>
      <w:r w:rsidRPr="00F91623">
        <w:rPr>
          <w:rFonts w:asciiTheme="minorHAnsi" w:hAnsiTheme="minorHAnsi" w:cstheme="minorHAnsi"/>
        </w:rPr>
        <w:t>3.4.1</w:t>
      </w:r>
      <w:r w:rsidRPr="00F91623">
        <w:rPr>
          <w:rFonts w:asciiTheme="minorHAnsi" w:hAnsiTheme="minorHAnsi" w:cstheme="minorHAnsi"/>
        </w:rPr>
        <w:tab/>
        <w:t xml:space="preserve">Due to the lack of long-term data sets no temporal trend analysis was done for the first assessment when this guideline was written. The following methodology is proposed, all seafloor litter data reflects presence or absence. Thus, to give a good representation of the extent of litter on the seafloor and to make correct comparisons across time, for each year, one can create the variable “percentage of trawls in which the litter item was recorded”. Whilst we are confident that the data generated by individual surveys correctly counted litter items, we can use the same percentage variable to define litter for all survey. This is partly for ease of comparison between surveys but also because the distribution of the number of litter items caught per trawl is often highly skewed. That is, generally observations are 0 or 1, but there are some very high counts. These high counts could overly influence simple yearly means and transforming the data by taking natural logs will be problematic due to the high proportion of zeros. </w:t>
      </w:r>
    </w:p>
    <w:p w14:paraId="215DCA5D" w14:textId="75B83025" w:rsidR="00C80A74" w:rsidRPr="00F91623" w:rsidRDefault="00C80A74" w:rsidP="00C80A74">
      <w:pPr>
        <w:rPr>
          <w:rFonts w:asciiTheme="minorHAnsi" w:hAnsiTheme="minorHAnsi" w:cstheme="minorHAnsi"/>
        </w:rPr>
      </w:pPr>
      <w:r w:rsidRPr="00F91623">
        <w:rPr>
          <w:rFonts w:asciiTheme="minorHAnsi" w:hAnsiTheme="minorHAnsi" w:cstheme="minorHAnsi"/>
        </w:rPr>
        <w:t>3.4.2</w:t>
      </w:r>
      <w:r w:rsidRPr="00F91623">
        <w:rPr>
          <w:rFonts w:asciiTheme="minorHAnsi" w:hAnsiTheme="minorHAnsi" w:cstheme="minorHAnsi"/>
        </w:rPr>
        <w:tab/>
        <w:t>For temporal trend analysis the data should thus be expressed as the percentage of trawls in which the litter item was recorded. To perform formal statistical evaluation of potential trends, the Mann-Kendall non-parametric test can be performed on the yearly means using the R software package emon (</w:t>
      </w:r>
      <w:hyperlink r:id="rId18" w:history="1">
        <w:r w:rsidRPr="00F91623">
          <w:rPr>
            <w:rFonts w:asciiTheme="minorHAnsi" w:hAnsiTheme="minorHAnsi" w:cstheme="minorHAnsi"/>
          </w:rPr>
          <w:t>https://r-forge.r-project.org/projects/emon/</w:t>
        </w:r>
      </w:hyperlink>
      <w:r w:rsidRPr="00F91623">
        <w:rPr>
          <w:rFonts w:asciiTheme="minorHAnsi" w:hAnsiTheme="minorHAnsi" w:cstheme="minorHAnsi"/>
        </w:rPr>
        <w:t xml:space="preserve">), with the function mannkendall (MK). Effectively, this method considers each yearly mean and counts the number of means in future years that are greater than it (assigned a positive number) </w:t>
      </w:r>
      <w:r w:rsidR="00F91623" w:rsidRPr="00F91623">
        <w:rPr>
          <w:rFonts w:asciiTheme="minorHAnsi" w:hAnsiTheme="minorHAnsi" w:cstheme="minorHAnsi"/>
        </w:rPr>
        <w:t>and</w:t>
      </w:r>
      <w:r w:rsidRPr="00F91623">
        <w:rPr>
          <w:rFonts w:asciiTheme="minorHAnsi" w:hAnsiTheme="minorHAnsi" w:cstheme="minorHAnsi"/>
        </w:rPr>
        <w:t xml:space="preserve"> the number that are less than it (assigned a negative number). The sum of these two numbers represents the observed MK statistic. This observed statistic is then compared with the value that would be obtained under the null hypothesis of no trend. This is achieved using a randomisation procedure that involves randomly allocating years to litter means - thus calculating the null distribution of the MK statistic. Two-sided tests need to be performed as there is no </w:t>
      </w:r>
      <w:r w:rsidRPr="00F91623">
        <w:rPr>
          <w:rFonts w:asciiTheme="minorHAnsi" w:hAnsiTheme="minorHAnsi" w:cstheme="minorHAnsi"/>
          <w:i/>
        </w:rPr>
        <w:t>a priori</w:t>
      </w:r>
      <w:r w:rsidRPr="00F91623">
        <w:rPr>
          <w:rFonts w:asciiTheme="minorHAnsi" w:hAnsiTheme="minorHAnsi" w:cstheme="minorHAnsi"/>
        </w:rPr>
        <w:t xml:space="preserve"> knowledge of whether the trend might be positive or negative. </w:t>
      </w:r>
    </w:p>
    <w:p w14:paraId="262918D2" w14:textId="77777777" w:rsidR="00C80A74" w:rsidRPr="00F91623" w:rsidRDefault="00C80A74" w:rsidP="00C80A74">
      <w:pPr>
        <w:spacing w:before="100" w:beforeAutospacing="1" w:after="100" w:afterAutospacing="1"/>
        <w:rPr>
          <w:rFonts w:asciiTheme="minorHAnsi" w:hAnsiTheme="minorHAnsi" w:cstheme="minorHAnsi"/>
        </w:rPr>
      </w:pPr>
      <w:r w:rsidRPr="00F91623">
        <w:rPr>
          <w:rFonts w:asciiTheme="minorHAnsi" w:hAnsiTheme="minorHAnsi" w:cstheme="minorHAnsi"/>
        </w:rPr>
        <w:t>3.4.3</w:t>
      </w:r>
      <w:r w:rsidRPr="00F91623">
        <w:rPr>
          <w:rFonts w:asciiTheme="minorHAnsi" w:hAnsiTheme="minorHAnsi" w:cstheme="minorHAnsi"/>
        </w:rPr>
        <w:tab/>
        <w:t>In the spatial analysis, the data are presented as abundance in number of marine litter items km</w:t>
      </w:r>
      <w:r w:rsidRPr="00F91623">
        <w:rPr>
          <w:rFonts w:asciiTheme="minorHAnsi" w:hAnsiTheme="minorHAnsi" w:cstheme="minorHAnsi"/>
          <w:vertAlign w:val="superscript"/>
        </w:rPr>
        <w:t xml:space="preserve">-2 </w:t>
      </w:r>
      <w:r w:rsidRPr="00F91623">
        <w:rPr>
          <w:rFonts w:asciiTheme="minorHAnsi" w:hAnsiTheme="minorHAnsi" w:cstheme="minorHAnsi"/>
        </w:rPr>
        <w:t xml:space="preserve">of seafloor. Mean values of litter abundance were calculated for all years and areas where sufficient data was available, 2012 data could be selected to synchronise with the start of the MSFD (initial assessment) and as such represents the baseline or initial abundance of litter items km-2 on the seafloor. For total litter and for plastic, 95% bootstrap confidence intervals are also given using the percentile method. </w:t>
      </w:r>
    </w:p>
    <w:p w14:paraId="11A9EB43" w14:textId="77777777" w:rsidR="00C80A74" w:rsidRPr="00F91623" w:rsidRDefault="00C80A74" w:rsidP="00C80A74">
      <w:pPr>
        <w:spacing w:before="100" w:beforeAutospacing="1" w:after="100" w:afterAutospacing="1"/>
        <w:rPr>
          <w:rFonts w:asciiTheme="minorHAnsi" w:hAnsiTheme="minorHAnsi" w:cstheme="minorHAnsi"/>
        </w:rPr>
      </w:pPr>
      <w:r w:rsidRPr="00F91623">
        <w:rPr>
          <w:rFonts w:asciiTheme="minorHAnsi" w:hAnsiTheme="minorHAnsi" w:cstheme="minorHAnsi"/>
        </w:rPr>
        <w:t>3.4.3</w:t>
      </w:r>
      <w:r w:rsidRPr="00F91623">
        <w:rPr>
          <w:rFonts w:asciiTheme="minorHAnsi" w:hAnsiTheme="minorHAnsi" w:cstheme="minorHAnsi"/>
        </w:rPr>
        <w:tab/>
        <w:t xml:space="preserve">For the power studies we have used the trend.power function in the R library emon. The power should be calculated with total litter counts for each of the three areas: Celtic, GNS and The Bay of Biscay. The sample size for each year is fixed at the following values, which corresponded roughly with the number of stations taken in each year: Celtic=225, GNS=500, Biscay=75. A starting mean for each region corresponding to the observed 2012 mean should be assumed. The power can then be calculated for 10%, 20% and 30% increases over 5, 10, 15, 20, 25 and 30 years. As the number of years’ increases, there is more data to detect the trend – although the change per year gets smaller. Possibly, this could be repeated but fixing the increase to be X% per year. A negative binomial distribution is assumed for the distribution of numbers of items per haul. The results of the power study for the first assessment are shown in Figure 2. A separate assessment should be done, using only the Spanish BAK hauls. The sampling locations are shown in Figure 1. There were 182 hauls in 2012, 197 hauls in 2013 and 160 hauls in 2014. The power results for Spain, assuming a sample size of 182 are shown in Figure 3. </w:t>
      </w:r>
    </w:p>
    <w:p w14:paraId="3EB31AF1" w14:textId="0BB892EC" w:rsidR="00C80A74" w:rsidRPr="00F91623" w:rsidRDefault="00C80A74" w:rsidP="00C80A74">
      <w:pPr>
        <w:pStyle w:val="Prrafodelista"/>
        <w:spacing w:before="40" w:after="40"/>
        <w:ind w:left="0"/>
        <w:jc w:val="both"/>
        <w:rPr>
          <w:rFonts w:asciiTheme="minorHAnsi" w:hAnsiTheme="minorHAnsi" w:cstheme="minorHAnsi"/>
        </w:rPr>
      </w:pPr>
      <w:r w:rsidRPr="00F91623">
        <w:rPr>
          <w:rFonts w:asciiTheme="minorHAnsi" w:hAnsiTheme="minorHAnsi" w:cstheme="minorHAnsi"/>
          <w:noProof/>
          <w:lang w:val="es-ES" w:eastAsia="es-ES"/>
        </w:rPr>
        <w:drawing>
          <wp:inline distT="0" distB="0" distL="0" distR="0" wp14:anchorId="4C312774" wp14:editId="14C3627D">
            <wp:extent cx="5314950" cy="422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4950" cy="4229100"/>
                    </a:xfrm>
                    <a:prstGeom prst="rect">
                      <a:avLst/>
                    </a:prstGeom>
                    <a:noFill/>
                    <a:ln>
                      <a:noFill/>
                    </a:ln>
                  </pic:spPr>
                </pic:pic>
              </a:graphicData>
            </a:graphic>
          </wp:inline>
        </w:drawing>
      </w:r>
    </w:p>
    <w:p w14:paraId="781D72D4" w14:textId="77777777" w:rsidR="00C80A74" w:rsidRPr="00F91623" w:rsidRDefault="00C80A74" w:rsidP="00C80A74">
      <w:pPr>
        <w:pStyle w:val="Prrafodelista"/>
        <w:spacing w:before="40" w:after="40"/>
        <w:ind w:left="0"/>
        <w:jc w:val="both"/>
        <w:rPr>
          <w:rFonts w:asciiTheme="minorHAnsi" w:hAnsiTheme="minorHAnsi" w:cstheme="minorHAnsi"/>
          <w:b/>
          <w:sz w:val="20"/>
          <w:szCs w:val="20"/>
        </w:rPr>
      </w:pPr>
      <w:r w:rsidRPr="00F91623">
        <w:rPr>
          <w:rFonts w:asciiTheme="minorHAnsi" w:hAnsiTheme="minorHAnsi" w:cstheme="minorHAnsi"/>
          <w:b/>
          <w:sz w:val="20"/>
          <w:szCs w:val="20"/>
        </w:rPr>
        <w:t>Figure 2: Power plots for total litter items per haul. The x-axis is the number of years of survey and the different lines represent linear changes in trend</w:t>
      </w:r>
    </w:p>
    <w:p w14:paraId="1CCB22B5" w14:textId="77777777" w:rsidR="00C80A74" w:rsidRPr="00F91623" w:rsidRDefault="00C80A74" w:rsidP="00C80A74">
      <w:pPr>
        <w:pStyle w:val="Prrafodelista"/>
        <w:spacing w:before="40" w:after="40"/>
        <w:ind w:left="0"/>
        <w:jc w:val="both"/>
        <w:rPr>
          <w:rFonts w:asciiTheme="minorHAnsi" w:hAnsiTheme="minorHAnsi" w:cstheme="minorHAnsi"/>
        </w:rPr>
      </w:pPr>
    </w:p>
    <w:p w14:paraId="37FF3E9D" w14:textId="153158C8" w:rsidR="00C80A74" w:rsidRPr="00F91623" w:rsidRDefault="00C80A74" w:rsidP="00C80A74">
      <w:pPr>
        <w:pStyle w:val="Prrafodelista"/>
        <w:spacing w:before="40" w:after="40"/>
        <w:ind w:left="0"/>
        <w:jc w:val="both"/>
        <w:rPr>
          <w:rFonts w:asciiTheme="minorHAnsi" w:hAnsiTheme="minorHAnsi" w:cstheme="minorHAnsi"/>
        </w:rPr>
      </w:pPr>
      <w:r w:rsidRPr="00F91623">
        <w:rPr>
          <w:rFonts w:asciiTheme="minorHAnsi" w:hAnsiTheme="minorHAnsi" w:cstheme="minorHAnsi"/>
          <w:noProof/>
          <w:lang w:val="es-ES" w:eastAsia="es-ES"/>
        </w:rPr>
        <w:drawing>
          <wp:inline distT="0" distB="0" distL="0" distR="0" wp14:anchorId="26A6049E" wp14:editId="4A0BE582">
            <wp:extent cx="5734050" cy="4562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562475"/>
                    </a:xfrm>
                    <a:prstGeom prst="rect">
                      <a:avLst/>
                    </a:prstGeom>
                    <a:noFill/>
                    <a:ln>
                      <a:noFill/>
                    </a:ln>
                  </pic:spPr>
                </pic:pic>
              </a:graphicData>
            </a:graphic>
          </wp:inline>
        </w:drawing>
      </w:r>
    </w:p>
    <w:p w14:paraId="5611E41A" w14:textId="77777777" w:rsidR="00C80A74" w:rsidRPr="00F91623" w:rsidRDefault="00C80A74" w:rsidP="00C80A74">
      <w:pPr>
        <w:pStyle w:val="Prrafodelista"/>
        <w:spacing w:before="40" w:after="40"/>
        <w:ind w:left="0"/>
        <w:jc w:val="both"/>
        <w:rPr>
          <w:rFonts w:asciiTheme="minorHAnsi" w:hAnsiTheme="minorHAnsi" w:cstheme="minorHAnsi"/>
          <w:b/>
          <w:sz w:val="20"/>
          <w:szCs w:val="20"/>
        </w:rPr>
      </w:pPr>
      <w:r w:rsidRPr="00F91623">
        <w:rPr>
          <w:rFonts w:asciiTheme="minorHAnsi" w:hAnsiTheme="minorHAnsi" w:cstheme="minorHAnsi"/>
          <w:b/>
          <w:sz w:val="20"/>
          <w:szCs w:val="20"/>
        </w:rPr>
        <w:t>Figure 3: Power plots for total litter items per BAK haul. The x-axis is the number of years of survey and the different lines represent linear changes in trend</w:t>
      </w:r>
    </w:p>
    <w:p w14:paraId="076895D6" w14:textId="77777777" w:rsidR="00C80A74" w:rsidRPr="00F91623" w:rsidRDefault="00C80A74" w:rsidP="00C80A74">
      <w:pPr>
        <w:rPr>
          <w:rFonts w:asciiTheme="minorHAnsi" w:hAnsiTheme="minorHAnsi" w:cstheme="minorHAnsi"/>
          <w:sz w:val="28"/>
          <w:szCs w:val="28"/>
        </w:rPr>
      </w:pPr>
    </w:p>
    <w:p w14:paraId="5248E4CB" w14:textId="77777777" w:rsidR="00C80A74" w:rsidRPr="00F91623" w:rsidRDefault="00C80A74" w:rsidP="00C80A74">
      <w:pPr>
        <w:rPr>
          <w:rFonts w:asciiTheme="minorHAnsi" w:hAnsiTheme="minorHAnsi" w:cstheme="minorHAnsi"/>
          <w:sz w:val="28"/>
          <w:szCs w:val="28"/>
        </w:rPr>
      </w:pPr>
      <w:r w:rsidRPr="00F91623">
        <w:rPr>
          <w:rFonts w:asciiTheme="minorHAnsi" w:hAnsiTheme="minorHAnsi" w:cstheme="minorHAnsi"/>
          <w:sz w:val="28"/>
          <w:szCs w:val="28"/>
        </w:rPr>
        <w:t>3.5</w:t>
      </w:r>
      <w:r w:rsidRPr="00F91623">
        <w:rPr>
          <w:rFonts w:asciiTheme="minorHAnsi" w:hAnsiTheme="minorHAnsi" w:cstheme="minorHAnsi"/>
          <w:sz w:val="28"/>
          <w:szCs w:val="28"/>
        </w:rPr>
        <w:tab/>
        <w:t>Presentation of assessment results</w:t>
      </w:r>
    </w:p>
    <w:p w14:paraId="517E2679" w14:textId="386C5C72" w:rsidR="00C80A74" w:rsidRPr="00F91623" w:rsidRDefault="00C80A74" w:rsidP="00C80A74">
      <w:pPr>
        <w:rPr>
          <w:rFonts w:asciiTheme="minorHAnsi" w:hAnsiTheme="minorHAnsi" w:cstheme="minorHAnsi"/>
        </w:rPr>
      </w:pPr>
      <w:r w:rsidRPr="00F91623">
        <w:rPr>
          <w:rFonts w:asciiTheme="minorHAnsi" w:hAnsiTheme="minorHAnsi" w:cstheme="minorHAnsi"/>
        </w:rPr>
        <w:t>3.5.1</w:t>
      </w:r>
      <w:r w:rsidRPr="00F91623">
        <w:rPr>
          <w:rFonts w:asciiTheme="minorHAnsi" w:hAnsiTheme="minorHAnsi" w:cstheme="minorHAnsi"/>
        </w:rPr>
        <w:tab/>
        <w:t xml:space="preserve">The following results should </w:t>
      </w:r>
      <w:r w:rsidR="00F91623" w:rsidRPr="00F91623">
        <w:rPr>
          <w:rFonts w:asciiTheme="minorHAnsi" w:hAnsiTheme="minorHAnsi" w:cstheme="minorHAnsi"/>
        </w:rPr>
        <w:t>be</w:t>
      </w:r>
      <w:r w:rsidR="00F32A35" w:rsidRPr="00F91623">
        <w:rPr>
          <w:rFonts w:asciiTheme="minorHAnsi" w:hAnsiTheme="minorHAnsi" w:cstheme="minorHAnsi"/>
        </w:rPr>
        <w:t xml:space="preserve"> </w:t>
      </w:r>
      <w:r w:rsidRPr="00F91623">
        <w:rPr>
          <w:rFonts w:asciiTheme="minorHAnsi" w:hAnsiTheme="minorHAnsi" w:cstheme="minorHAnsi"/>
        </w:rPr>
        <w:t xml:space="preserve">part of the seafloor litter assessment: </w:t>
      </w:r>
    </w:p>
    <w:p w14:paraId="6F96CAEB" w14:textId="77777777" w:rsidR="00C80A74" w:rsidRPr="00F91623" w:rsidRDefault="00C80A74" w:rsidP="00C80A74">
      <w:pPr>
        <w:pStyle w:val="Prrafodelista"/>
        <w:numPr>
          <w:ilvl w:val="0"/>
          <w:numId w:val="32"/>
        </w:numPr>
        <w:jc w:val="both"/>
        <w:rPr>
          <w:rFonts w:asciiTheme="minorHAnsi" w:hAnsiTheme="minorHAnsi" w:cstheme="minorHAnsi"/>
        </w:rPr>
      </w:pPr>
      <w:r w:rsidRPr="00F91623">
        <w:rPr>
          <w:rFonts w:asciiTheme="minorHAnsi" w:hAnsiTheme="minorHAnsi" w:cstheme="minorHAnsi"/>
        </w:rPr>
        <w:t xml:space="preserve">Number of items per km2, total and by (sub)category per year and region (mean &amp; 95% bootstrap confidence intervals). </w:t>
      </w:r>
    </w:p>
    <w:p w14:paraId="06F386D8" w14:textId="770E0607" w:rsidR="00C80A74" w:rsidRPr="00F91623" w:rsidRDefault="00C80A74" w:rsidP="00C80A74">
      <w:pPr>
        <w:pStyle w:val="Prrafodelista"/>
        <w:numPr>
          <w:ilvl w:val="0"/>
          <w:numId w:val="32"/>
        </w:numPr>
        <w:jc w:val="both"/>
        <w:rPr>
          <w:rFonts w:asciiTheme="minorHAnsi" w:hAnsiTheme="minorHAnsi" w:cstheme="minorHAnsi"/>
        </w:rPr>
      </w:pPr>
      <w:r w:rsidRPr="00F91623">
        <w:rPr>
          <w:rFonts w:asciiTheme="minorHAnsi" w:hAnsiTheme="minorHAnsi" w:cstheme="minorHAnsi"/>
        </w:rPr>
        <w:t xml:space="preserve">Trend analysis (minimum of 5 </w:t>
      </w:r>
      <w:r w:rsidR="00F91623" w:rsidRPr="00F91623">
        <w:rPr>
          <w:rFonts w:asciiTheme="minorHAnsi" w:hAnsiTheme="minorHAnsi" w:cstheme="minorHAnsi"/>
        </w:rPr>
        <w:t>years’</w:t>
      </w:r>
      <w:r w:rsidRPr="00F91623">
        <w:rPr>
          <w:rFonts w:asciiTheme="minorHAnsi" w:hAnsiTheme="minorHAnsi" w:cstheme="minorHAnsi"/>
        </w:rPr>
        <w:t xml:space="preserve"> data required)</w:t>
      </w:r>
    </w:p>
    <w:p w14:paraId="4788CE7B" w14:textId="77777777" w:rsidR="00C80A74" w:rsidRPr="00F91623" w:rsidRDefault="00C80A74" w:rsidP="00C80A74">
      <w:pPr>
        <w:pStyle w:val="Prrafodelista"/>
        <w:numPr>
          <w:ilvl w:val="0"/>
          <w:numId w:val="32"/>
        </w:numPr>
        <w:jc w:val="both"/>
        <w:rPr>
          <w:rFonts w:asciiTheme="minorHAnsi" w:hAnsiTheme="minorHAnsi" w:cstheme="minorHAnsi"/>
        </w:rPr>
      </w:pPr>
      <w:r w:rsidRPr="00F91623">
        <w:rPr>
          <w:rFonts w:asciiTheme="minorHAnsi" w:hAnsiTheme="minorHAnsi" w:cstheme="minorHAnsi"/>
        </w:rPr>
        <w:t>Figures showing smoothed predictions of the total number of items per km2, total plastic counts per km2 and probability a haul contains plastic. Ideally, the number of items found should be standardised to the area of the haul. This is effectively the distance of the haul multiplied by the cross-sectional area of the net.</w:t>
      </w:r>
    </w:p>
    <w:p w14:paraId="66661F7F" w14:textId="77777777" w:rsidR="00C80A74" w:rsidRPr="00F91623" w:rsidRDefault="00C80A74" w:rsidP="00C80A74">
      <w:pPr>
        <w:pStyle w:val="Prrafodelista"/>
        <w:numPr>
          <w:ilvl w:val="0"/>
          <w:numId w:val="32"/>
        </w:numPr>
        <w:jc w:val="both"/>
        <w:rPr>
          <w:rFonts w:asciiTheme="minorHAnsi" w:hAnsiTheme="minorHAnsi" w:cstheme="minorHAnsi"/>
        </w:rPr>
      </w:pPr>
      <w:r w:rsidRPr="00F91623">
        <w:rPr>
          <w:rFonts w:asciiTheme="minorHAnsi" w:hAnsiTheme="minorHAnsi" w:cstheme="minorHAnsi"/>
        </w:rPr>
        <w:t>Power study to define detectable change with number of stations</w:t>
      </w:r>
    </w:p>
    <w:p w14:paraId="76D32AAB" w14:textId="4D0DFDD0" w:rsidR="00C80A74" w:rsidRPr="00F91623" w:rsidRDefault="00C80A74" w:rsidP="00C80A74">
      <w:pPr>
        <w:rPr>
          <w:rFonts w:asciiTheme="minorHAnsi" w:hAnsiTheme="minorHAnsi" w:cstheme="minorHAnsi"/>
        </w:rPr>
      </w:pPr>
      <w:r w:rsidRPr="00F91623">
        <w:rPr>
          <w:rFonts w:asciiTheme="minorHAnsi" w:hAnsiTheme="minorHAnsi" w:cstheme="minorHAnsi"/>
        </w:rPr>
        <w:t xml:space="preserve">3.5.2. </w:t>
      </w:r>
      <w:r w:rsidRPr="00F91623">
        <w:rPr>
          <w:rFonts w:asciiTheme="minorHAnsi" w:hAnsiTheme="minorHAnsi" w:cstheme="minorHAnsi"/>
        </w:rPr>
        <w:tab/>
        <w:t xml:space="preserve"> Figures </w:t>
      </w:r>
      <w:r w:rsidR="00930787">
        <w:rPr>
          <w:rFonts w:asciiTheme="minorHAnsi" w:hAnsiTheme="minorHAnsi" w:cstheme="minorHAnsi"/>
        </w:rPr>
        <w:t xml:space="preserve">for the assessment [add reference to assessment sheet] </w:t>
      </w:r>
      <w:r w:rsidRPr="00F91623">
        <w:rPr>
          <w:rFonts w:asciiTheme="minorHAnsi" w:hAnsiTheme="minorHAnsi" w:cstheme="minorHAnsi"/>
        </w:rPr>
        <w:t xml:space="preserve">represent spatially smoothed predictions of the litter type at a grid of points (this is using data combined over years). The grid over the whole map is 200 (longitude) by 127 (latitude) of equally spaced points. Grid points that are more than 20 km from a haul location are not used. The plots have been smoothed using a Generalised Linear Model (9) with longitude and latitude as the explanatory variables. The counts have been modelled using a negative binomial family and the litter per km2 values have had a ln(x+1) transformation </w:t>
      </w:r>
      <w:r w:rsidR="00F91623" w:rsidRPr="00F91623">
        <w:rPr>
          <w:rFonts w:asciiTheme="minorHAnsi" w:hAnsiTheme="minorHAnsi" w:cstheme="minorHAnsi"/>
        </w:rPr>
        <w:t>to</w:t>
      </w:r>
      <w:r w:rsidRPr="00F91623">
        <w:rPr>
          <w:rFonts w:asciiTheme="minorHAnsi" w:hAnsiTheme="minorHAnsi" w:cstheme="minorHAnsi"/>
        </w:rPr>
        <w:t xml:space="preserve"> get them approximately Gaussian (with limited success). For the litter per km2 plot, we back-transformed the smoothed values using an exponential minus 1 transformation. The plots are thus approximately median levels on the original scale.</w:t>
      </w:r>
    </w:p>
    <w:p w14:paraId="09093D99" w14:textId="77777777" w:rsidR="00C80A74" w:rsidRPr="00F91623" w:rsidRDefault="00C80A74" w:rsidP="00C80A74">
      <w:pPr>
        <w:rPr>
          <w:rFonts w:asciiTheme="minorHAnsi" w:hAnsiTheme="minorHAnsi" w:cstheme="minorHAnsi"/>
        </w:rPr>
      </w:pPr>
    </w:p>
    <w:p w14:paraId="428CDF0A" w14:textId="77777777" w:rsidR="00C80A74" w:rsidRPr="00F91623" w:rsidRDefault="00C80A74" w:rsidP="00C80A74">
      <w:pPr>
        <w:rPr>
          <w:rFonts w:asciiTheme="minorHAnsi" w:hAnsiTheme="minorHAnsi" w:cstheme="minorHAnsi"/>
          <w:sz w:val="32"/>
          <w:szCs w:val="32"/>
        </w:rPr>
      </w:pPr>
      <w:r w:rsidRPr="00F91623">
        <w:rPr>
          <w:rFonts w:asciiTheme="minorHAnsi" w:hAnsiTheme="minorHAnsi" w:cstheme="minorHAnsi"/>
          <w:sz w:val="32"/>
          <w:szCs w:val="32"/>
        </w:rPr>
        <w:t>4</w:t>
      </w:r>
      <w:r w:rsidRPr="00F91623">
        <w:rPr>
          <w:rFonts w:asciiTheme="minorHAnsi" w:hAnsiTheme="minorHAnsi" w:cstheme="minorHAnsi"/>
          <w:sz w:val="32"/>
          <w:szCs w:val="32"/>
        </w:rPr>
        <w:tab/>
        <w:t>Change Management</w:t>
      </w:r>
    </w:p>
    <w:p w14:paraId="31554EE9" w14:textId="77777777" w:rsidR="00C80A74" w:rsidRPr="00F91623" w:rsidRDefault="00C80A74" w:rsidP="00C80A74">
      <w:pPr>
        <w:spacing w:before="120"/>
        <w:rPr>
          <w:rFonts w:asciiTheme="minorHAnsi" w:hAnsiTheme="minorHAnsi" w:cstheme="minorHAnsi"/>
        </w:rPr>
      </w:pPr>
      <w:r w:rsidRPr="00F91623">
        <w:rPr>
          <w:rFonts w:asciiTheme="minorHAnsi" w:hAnsiTheme="minorHAnsi" w:cstheme="minorHAnsi"/>
        </w:rPr>
        <w:t>4.1</w:t>
      </w:r>
      <w:r w:rsidRPr="00F91623">
        <w:rPr>
          <w:rFonts w:asciiTheme="minorHAnsi" w:hAnsiTheme="minorHAnsi" w:cstheme="minorHAnsi"/>
        </w:rPr>
        <w:tab/>
        <w:t>All changes related to data generation and management should be taken forward by ICES. Changes in relation to the assessment and technical content will fall under the responsibility of the OSPAR ICGML and should be signed off by the OSPAR EIHA committee.</w:t>
      </w:r>
    </w:p>
    <w:p w14:paraId="6C6DBDA3" w14:textId="77777777" w:rsidR="00C80A74" w:rsidRPr="00F91623" w:rsidRDefault="00C80A74" w:rsidP="001A6DFC">
      <w:pPr>
        <w:pStyle w:val="Textoindependiente"/>
        <w:spacing w:before="120" w:line="280" w:lineRule="atLeast"/>
        <w:rPr>
          <w:rFonts w:asciiTheme="minorHAnsi" w:hAnsiTheme="minorHAnsi" w:cstheme="minorHAnsi"/>
        </w:rPr>
      </w:pPr>
    </w:p>
    <w:sectPr w:rsidR="00C80A74" w:rsidRPr="00F91623" w:rsidSect="006E461F">
      <w:footerReference w:type="default" r:id="rId21"/>
      <w:pgSz w:w="11907" w:h="16840" w:code="9"/>
      <w:pgMar w:top="1134" w:right="1134" w:bottom="1134" w:left="1134"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682BD" w14:textId="77777777" w:rsidR="00C654FE" w:rsidRDefault="00C654FE" w:rsidP="00FC3D64">
      <w:r>
        <w:separator/>
      </w:r>
    </w:p>
  </w:endnote>
  <w:endnote w:type="continuationSeparator" w:id="0">
    <w:p w14:paraId="7729F694" w14:textId="77777777" w:rsidR="00C654FE" w:rsidRDefault="00C654FE" w:rsidP="00FC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Mistral">
    <w:panose1 w:val="03090702030407020403"/>
    <w:charset w:val="00"/>
    <w:family w:val="script"/>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86E3E" w14:textId="415A4F48" w:rsidR="00651037" w:rsidRDefault="00651037">
    <w:pPr>
      <w:pStyle w:val="Piedepgina"/>
    </w:pPr>
  </w:p>
  <w:tbl>
    <w:tblPr>
      <w:tblW w:w="9647" w:type="dxa"/>
      <w:tblCellMar>
        <w:top w:w="57" w:type="dxa"/>
        <w:left w:w="0" w:type="dxa"/>
        <w:bottom w:w="57" w:type="dxa"/>
        <w:right w:w="0" w:type="dxa"/>
      </w:tblCellMar>
      <w:tblLook w:val="0000" w:firstRow="0" w:lastRow="0" w:firstColumn="0" w:lastColumn="0" w:noHBand="0" w:noVBand="0"/>
    </w:tblPr>
    <w:tblGrid>
      <w:gridCol w:w="3215"/>
      <w:gridCol w:w="3216"/>
      <w:gridCol w:w="3216"/>
    </w:tblGrid>
    <w:tr w:rsidR="009844FB" w:rsidRPr="00A960EA" w14:paraId="0D4330BE" w14:textId="77777777" w:rsidTr="00DF07B6">
      <w:trPr>
        <w:cantSplit/>
        <w:trHeight w:hRule="exact" w:val="284"/>
      </w:trPr>
      <w:tc>
        <w:tcPr>
          <w:tcW w:w="9647" w:type="dxa"/>
          <w:gridSpan w:val="3"/>
          <w:tcBorders>
            <w:bottom w:val="single" w:sz="4" w:space="0" w:color="auto"/>
          </w:tcBorders>
        </w:tcPr>
        <w:p w14:paraId="05D31116" w14:textId="77777777" w:rsidR="009844FB" w:rsidRPr="00A960EA" w:rsidRDefault="009844FB" w:rsidP="009844FB">
          <w:pPr>
            <w:pStyle w:val="Piedepgina"/>
            <w:tabs>
              <w:tab w:val="left" w:pos="272"/>
              <w:tab w:val="right" w:pos="9594"/>
            </w:tabs>
            <w:rPr>
              <w:rFonts w:cs="Arial"/>
              <w:sz w:val="20"/>
            </w:rPr>
          </w:pPr>
        </w:p>
      </w:tc>
    </w:tr>
    <w:tr w:rsidR="009844FB" w:rsidRPr="00A960EA" w14:paraId="7FDFD8B2" w14:textId="77777777" w:rsidTr="00DF07B6">
      <w:trPr>
        <w:cantSplit/>
        <w:trHeight w:hRule="exact" w:val="284"/>
      </w:trPr>
      <w:tc>
        <w:tcPr>
          <w:tcW w:w="3215" w:type="dxa"/>
          <w:tcBorders>
            <w:top w:val="single" w:sz="4" w:space="0" w:color="auto"/>
          </w:tcBorders>
        </w:tcPr>
        <w:p w14:paraId="65B1A1E4" w14:textId="77777777" w:rsidR="009844FB" w:rsidRPr="00A960EA" w:rsidRDefault="009844FB" w:rsidP="009844FB">
          <w:pPr>
            <w:pStyle w:val="Piedepgina"/>
            <w:rPr>
              <w:rFonts w:cs="Arial"/>
              <w:sz w:val="20"/>
            </w:rPr>
          </w:pPr>
          <w:r w:rsidRPr="00A960EA">
            <w:rPr>
              <w:rFonts w:cs="Arial"/>
              <w:sz w:val="20"/>
            </w:rPr>
            <w:t>OSPAR Commission</w:t>
          </w:r>
        </w:p>
      </w:tc>
      <w:tc>
        <w:tcPr>
          <w:tcW w:w="3216" w:type="dxa"/>
          <w:tcBorders>
            <w:top w:val="single" w:sz="4" w:space="0" w:color="auto"/>
          </w:tcBorders>
        </w:tcPr>
        <w:p w14:paraId="6A9CA2DC" w14:textId="44808EBB" w:rsidR="009844FB" w:rsidRPr="00A960EA" w:rsidRDefault="009844FB" w:rsidP="009844FB">
          <w:pPr>
            <w:pStyle w:val="Piedepgina"/>
            <w:tabs>
              <w:tab w:val="left" w:pos="272"/>
            </w:tabs>
            <w:jc w:val="center"/>
            <w:rPr>
              <w:rFonts w:cs="Arial"/>
              <w:sz w:val="20"/>
            </w:rPr>
          </w:pPr>
        </w:p>
      </w:tc>
      <w:tc>
        <w:tcPr>
          <w:tcW w:w="3216" w:type="dxa"/>
          <w:tcBorders>
            <w:top w:val="single" w:sz="4" w:space="0" w:color="auto"/>
          </w:tcBorders>
        </w:tcPr>
        <w:p w14:paraId="1620B581" w14:textId="0BB0734C" w:rsidR="009844FB" w:rsidRPr="00A960EA" w:rsidRDefault="00260FEE" w:rsidP="0081286F">
          <w:pPr>
            <w:pStyle w:val="Piedepgina"/>
            <w:tabs>
              <w:tab w:val="left" w:pos="272"/>
            </w:tabs>
            <w:jc w:val="right"/>
            <w:rPr>
              <w:rFonts w:cs="Arial"/>
              <w:sz w:val="20"/>
            </w:rPr>
          </w:pPr>
          <w:r>
            <w:rPr>
              <w:rFonts w:cs="Arial"/>
              <w:sz w:val="20"/>
            </w:rPr>
            <w:t>Agreement 2017-06</w:t>
          </w:r>
        </w:p>
      </w:tc>
    </w:tr>
  </w:tbl>
  <w:p w14:paraId="4D4D197E" w14:textId="53A378B3" w:rsidR="00651037" w:rsidRDefault="00651037">
    <w:pPr>
      <w:pStyle w:val="Piedepgina"/>
    </w:pPr>
  </w:p>
  <w:p w14:paraId="567E9802" w14:textId="77777777" w:rsidR="00651037" w:rsidRDefault="006510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91D99" w14:textId="77777777" w:rsidR="00C654FE" w:rsidRDefault="00C654FE" w:rsidP="00FC3D64">
      <w:r>
        <w:separator/>
      </w:r>
    </w:p>
  </w:footnote>
  <w:footnote w:type="continuationSeparator" w:id="0">
    <w:p w14:paraId="7138C21B" w14:textId="77777777" w:rsidR="00C654FE" w:rsidRDefault="00C654FE" w:rsidP="00FC3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FA0473C"/>
    <w:lvl w:ilvl="0">
      <w:start w:val="1"/>
      <w:numFmt w:val="lowerLetter"/>
      <w:pStyle w:val="Listaconnmeros"/>
      <w:lvlText w:val="%1."/>
      <w:lvlJc w:val="left"/>
      <w:pPr>
        <w:tabs>
          <w:tab w:val="num" w:pos="1134"/>
        </w:tabs>
        <w:ind w:left="1134" w:hanging="567"/>
      </w:pPr>
      <w:rPr>
        <w:rFonts w:hint="default"/>
        <w:b w:val="0"/>
        <w:i w:val="0"/>
        <w:color w:val="auto"/>
        <w:sz w:val="20"/>
      </w:rPr>
    </w:lvl>
  </w:abstractNum>
  <w:abstractNum w:abstractNumId="1" w15:restartNumberingAfterBreak="0">
    <w:nsid w:val="FFFFFF89"/>
    <w:multiLevelType w:val="singleLevel"/>
    <w:tmpl w:val="C91E2FC0"/>
    <w:lvl w:ilvl="0">
      <w:start w:val="1"/>
      <w:numFmt w:val="lowerRoman"/>
      <w:pStyle w:val="Listaconvietas"/>
      <w:lvlText w:val="%1."/>
      <w:lvlJc w:val="right"/>
      <w:pPr>
        <w:tabs>
          <w:tab w:val="num" w:pos="1701"/>
        </w:tabs>
        <w:ind w:left="1701" w:hanging="567"/>
      </w:pPr>
      <w:rPr>
        <w:rFonts w:hint="default"/>
        <w:color w:val="auto"/>
      </w:rPr>
    </w:lvl>
  </w:abstractNum>
  <w:abstractNum w:abstractNumId="2" w15:restartNumberingAfterBreak="0">
    <w:nsid w:val="01B6482E"/>
    <w:multiLevelType w:val="hybridMultilevel"/>
    <w:tmpl w:val="E138AF7A"/>
    <w:lvl w:ilvl="0" w:tplc="C0645DFC">
      <w:start w:val="1"/>
      <w:numFmt w:val="lowerLetter"/>
      <w:lvlText w:val="%1."/>
      <w:lvlJc w:val="left"/>
      <w:pPr>
        <w:ind w:left="1491" w:hanging="360"/>
      </w:pPr>
      <w:rPr>
        <w:rFonts w:hint="default"/>
      </w:rPr>
    </w:lvl>
    <w:lvl w:ilvl="1" w:tplc="08090019" w:tentative="1">
      <w:start w:val="1"/>
      <w:numFmt w:val="lowerLetter"/>
      <w:lvlText w:val="%2."/>
      <w:lvlJc w:val="left"/>
      <w:pPr>
        <w:ind w:left="2211" w:hanging="360"/>
      </w:pPr>
    </w:lvl>
    <w:lvl w:ilvl="2" w:tplc="0809001B" w:tentative="1">
      <w:start w:val="1"/>
      <w:numFmt w:val="lowerRoman"/>
      <w:lvlText w:val="%3."/>
      <w:lvlJc w:val="right"/>
      <w:pPr>
        <w:ind w:left="2931" w:hanging="180"/>
      </w:pPr>
    </w:lvl>
    <w:lvl w:ilvl="3" w:tplc="0809000F" w:tentative="1">
      <w:start w:val="1"/>
      <w:numFmt w:val="decimal"/>
      <w:lvlText w:val="%4."/>
      <w:lvlJc w:val="left"/>
      <w:pPr>
        <w:ind w:left="3651" w:hanging="360"/>
      </w:pPr>
    </w:lvl>
    <w:lvl w:ilvl="4" w:tplc="08090019" w:tentative="1">
      <w:start w:val="1"/>
      <w:numFmt w:val="lowerLetter"/>
      <w:lvlText w:val="%5."/>
      <w:lvlJc w:val="left"/>
      <w:pPr>
        <w:ind w:left="4371" w:hanging="360"/>
      </w:pPr>
    </w:lvl>
    <w:lvl w:ilvl="5" w:tplc="0809001B" w:tentative="1">
      <w:start w:val="1"/>
      <w:numFmt w:val="lowerRoman"/>
      <w:lvlText w:val="%6."/>
      <w:lvlJc w:val="right"/>
      <w:pPr>
        <w:ind w:left="5091" w:hanging="180"/>
      </w:pPr>
    </w:lvl>
    <w:lvl w:ilvl="6" w:tplc="0809000F" w:tentative="1">
      <w:start w:val="1"/>
      <w:numFmt w:val="decimal"/>
      <w:lvlText w:val="%7."/>
      <w:lvlJc w:val="left"/>
      <w:pPr>
        <w:ind w:left="5811" w:hanging="360"/>
      </w:pPr>
    </w:lvl>
    <w:lvl w:ilvl="7" w:tplc="08090019" w:tentative="1">
      <w:start w:val="1"/>
      <w:numFmt w:val="lowerLetter"/>
      <w:lvlText w:val="%8."/>
      <w:lvlJc w:val="left"/>
      <w:pPr>
        <w:ind w:left="6531" w:hanging="360"/>
      </w:pPr>
    </w:lvl>
    <w:lvl w:ilvl="8" w:tplc="0809001B" w:tentative="1">
      <w:start w:val="1"/>
      <w:numFmt w:val="lowerRoman"/>
      <w:lvlText w:val="%9."/>
      <w:lvlJc w:val="right"/>
      <w:pPr>
        <w:ind w:left="7251" w:hanging="180"/>
      </w:pPr>
    </w:lvl>
  </w:abstractNum>
  <w:abstractNum w:abstractNumId="3" w15:restartNumberingAfterBreak="0">
    <w:nsid w:val="02385B7A"/>
    <w:multiLevelType w:val="hybridMultilevel"/>
    <w:tmpl w:val="335A4C48"/>
    <w:lvl w:ilvl="0" w:tplc="27DEE842">
      <w:start w:val="1"/>
      <w:numFmt w:val="decimal"/>
      <w:lvlText w:val="%1."/>
      <w:lvlJc w:val="left"/>
      <w:pPr>
        <w:ind w:left="570" w:hanging="570"/>
      </w:pPr>
      <w:rPr>
        <w:rFonts w:ascii="Calibri" w:eastAsiaTheme="minorHAnsi" w:hAnsi="Calibr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214323"/>
    <w:multiLevelType w:val="multilevel"/>
    <w:tmpl w:val="BE52E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B52F4"/>
    <w:multiLevelType w:val="hybridMultilevel"/>
    <w:tmpl w:val="1206BBD6"/>
    <w:lvl w:ilvl="0" w:tplc="815A0304">
      <w:start w:val="1"/>
      <w:numFmt w:val="lowerRoman"/>
      <w:lvlText w:val="(%1)"/>
      <w:lvlJc w:val="left"/>
      <w:pPr>
        <w:ind w:left="720"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2910A77"/>
    <w:multiLevelType w:val="hybridMultilevel"/>
    <w:tmpl w:val="A2C6246E"/>
    <w:lvl w:ilvl="0" w:tplc="72A45E3C">
      <w:start w:val="1"/>
      <w:numFmt w:val="decimal"/>
      <w:lvlText w:val="%1."/>
      <w:lvlJc w:val="left"/>
      <w:pPr>
        <w:ind w:left="720" w:hanging="360"/>
      </w:pPr>
      <w:rPr>
        <w:rFonts w:hint="default"/>
      </w:rPr>
    </w:lvl>
    <w:lvl w:ilvl="1" w:tplc="C1BE2E58" w:tentative="1">
      <w:start w:val="1"/>
      <w:numFmt w:val="lowerLetter"/>
      <w:lvlText w:val="%2."/>
      <w:lvlJc w:val="left"/>
      <w:pPr>
        <w:ind w:left="1440" w:hanging="360"/>
      </w:pPr>
    </w:lvl>
    <w:lvl w:ilvl="2" w:tplc="49FEFAAE" w:tentative="1">
      <w:start w:val="1"/>
      <w:numFmt w:val="lowerRoman"/>
      <w:lvlText w:val="%3."/>
      <w:lvlJc w:val="right"/>
      <w:pPr>
        <w:ind w:left="2160" w:hanging="180"/>
      </w:pPr>
    </w:lvl>
    <w:lvl w:ilvl="3" w:tplc="69CE8278" w:tentative="1">
      <w:start w:val="1"/>
      <w:numFmt w:val="decimal"/>
      <w:lvlText w:val="%4."/>
      <w:lvlJc w:val="left"/>
      <w:pPr>
        <w:ind w:left="2880" w:hanging="360"/>
      </w:pPr>
    </w:lvl>
    <w:lvl w:ilvl="4" w:tplc="947E2CC6" w:tentative="1">
      <w:start w:val="1"/>
      <w:numFmt w:val="lowerLetter"/>
      <w:lvlText w:val="%5."/>
      <w:lvlJc w:val="left"/>
      <w:pPr>
        <w:ind w:left="3600" w:hanging="360"/>
      </w:pPr>
    </w:lvl>
    <w:lvl w:ilvl="5" w:tplc="1922A4CC" w:tentative="1">
      <w:start w:val="1"/>
      <w:numFmt w:val="lowerRoman"/>
      <w:lvlText w:val="%6."/>
      <w:lvlJc w:val="right"/>
      <w:pPr>
        <w:ind w:left="4320" w:hanging="180"/>
      </w:pPr>
    </w:lvl>
    <w:lvl w:ilvl="6" w:tplc="9E70A9B0" w:tentative="1">
      <w:start w:val="1"/>
      <w:numFmt w:val="decimal"/>
      <w:lvlText w:val="%7."/>
      <w:lvlJc w:val="left"/>
      <w:pPr>
        <w:ind w:left="5040" w:hanging="360"/>
      </w:pPr>
    </w:lvl>
    <w:lvl w:ilvl="7" w:tplc="6866AEB8" w:tentative="1">
      <w:start w:val="1"/>
      <w:numFmt w:val="lowerLetter"/>
      <w:lvlText w:val="%8."/>
      <w:lvlJc w:val="left"/>
      <w:pPr>
        <w:ind w:left="5760" w:hanging="360"/>
      </w:pPr>
    </w:lvl>
    <w:lvl w:ilvl="8" w:tplc="5922066C" w:tentative="1">
      <w:start w:val="1"/>
      <w:numFmt w:val="lowerRoman"/>
      <w:lvlText w:val="%9."/>
      <w:lvlJc w:val="right"/>
      <w:pPr>
        <w:ind w:left="6480" w:hanging="180"/>
      </w:pPr>
    </w:lvl>
  </w:abstractNum>
  <w:abstractNum w:abstractNumId="7" w15:restartNumberingAfterBreak="0">
    <w:nsid w:val="19AB7DD8"/>
    <w:multiLevelType w:val="hybridMultilevel"/>
    <w:tmpl w:val="2A9E4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B023E3"/>
    <w:multiLevelType w:val="hybridMultilevel"/>
    <w:tmpl w:val="FB964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C33A7"/>
    <w:multiLevelType w:val="hybridMultilevel"/>
    <w:tmpl w:val="5986F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340F"/>
    <w:multiLevelType w:val="hybridMultilevel"/>
    <w:tmpl w:val="B5BC5F66"/>
    <w:lvl w:ilvl="0" w:tplc="705CF18C">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F3275"/>
    <w:multiLevelType w:val="hybridMultilevel"/>
    <w:tmpl w:val="1206BBD6"/>
    <w:lvl w:ilvl="0" w:tplc="815A0304">
      <w:start w:val="1"/>
      <w:numFmt w:val="lowerRoman"/>
      <w:lvlText w:val="(%1)"/>
      <w:lvlJc w:val="left"/>
      <w:pPr>
        <w:ind w:left="1855"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2121365D"/>
    <w:multiLevelType w:val="hybridMultilevel"/>
    <w:tmpl w:val="BE52E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3051A"/>
    <w:multiLevelType w:val="hybridMultilevel"/>
    <w:tmpl w:val="BD24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127C9"/>
    <w:multiLevelType w:val="hybridMultilevel"/>
    <w:tmpl w:val="FCEC8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663CE8"/>
    <w:multiLevelType w:val="hybridMultilevel"/>
    <w:tmpl w:val="E95ABE2E"/>
    <w:lvl w:ilvl="0" w:tplc="842ABA8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2936473"/>
    <w:multiLevelType w:val="hybridMultilevel"/>
    <w:tmpl w:val="56CC28C8"/>
    <w:lvl w:ilvl="0" w:tplc="CD4C5FA0">
      <w:start w:val="1"/>
      <w:numFmt w:val="lowerLetter"/>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17" w15:restartNumberingAfterBreak="0">
    <w:nsid w:val="34F551A0"/>
    <w:multiLevelType w:val="multilevel"/>
    <w:tmpl w:val="51DA9E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631B0B"/>
    <w:multiLevelType w:val="hybridMultilevel"/>
    <w:tmpl w:val="AFF4C46C"/>
    <w:lvl w:ilvl="0" w:tplc="7A2ED734">
      <w:start w:val="1"/>
      <w:numFmt w:val="decimal"/>
      <w:lvlText w:val="%1."/>
      <w:lvlJc w:val="left"/>
      <w:pPr>
        <w:ind w:left="720" w:hanging="360"/>
      </w:pPr>
      <w:rPr>
        <w:rFonts w:hint="default"/>
      </w:rPr>
    </w:lvl>
    <w:lvl w:ilvl="1" w:tplc="705CF18C">
      <w:start w:val="1"/>
      <w:numFmt w:val="lowerLetter"/>
      <w:lvlText w:val="%2."/>
      <w:lvlJc w:val="left"/>
      <w:pPr>
        <w:ind w:left="1440" w:hanging="360"/>
      </w:pPr>
    </w:lvl>
    <w:lvl w:ilvl="2" w:tplc="2F6E1F1E">
      <w:start w:val="1"/>
      <w:numFmt w:val="lowerRoman"/>
      <w:lvlText w:val="%3."/>
      <w:lvlJc w:val="right"/>
      <w:pPr>
        <w:ind w:left="2160" w:hanging="180"/>
      </w:pPr>
    </w:lvl>
    <w:lvl w:ilvl="3" w:tplc="135C08FE" w:tentative="1">
      <w:start w:val="1"/>
      <w:numFmt w:val="decimal"/>
      <w:lvlText w:val="%4."/>
      <w:lvlJc w:val="left"/>
      <w:pPr>
        <w:ind w:left="2880" w:hanging="360"/>
      </w:pPr>
    </w:lvl>
    <w:lvl w:ilvl="4" w:tplc="7D267738" w:tentative="1">
      <w:start w:val="1"/>
      <w:numFmt w:val="lowerLetter"/>
      <w:lvlText w:val="%5."/>
      <w:lvlJc w:val="left"/>
      <w:pPr>
        <w:ind w:left="3600" w:hanging="360"/>
      </w:pPr>
    </w:lvl>
    <w:lvl w:ilvl="5" w:tplc="1BA8457E" w:tentative="1">
      <w:start w:val="1"/>
      <w:numFmt w:val="lowerRoman"/>
      <w:lvlText w:val="%6."/>
      <w:lvlJc w:val="right"/>
      <w:pPr>
        <w:ind w:left="4320" w:hanging="180"/>
      </w:pPr>
    </w:lvl>
    <w:lvl w:ilvl="6" w:tplc="64E627B8" w:tentative="1">
      <w:start w:val="1"/>
      <w:numFmt w:val="decimal"/>
      <w:lvlText w:val="%7."/>
      <w:lvlJc w:val="left"/>
      <w:pPr>
        <w:ind w:left="5040" w:hanging="360"/>
      </w:pPr>
    </w:lvl>
    <w:lvl w:ilvl="7" w:tplc="320C85F4" w:tentative="1">
      <w:start w:val="1"/>
      <w:numFmt w:val="lowerLetter"/>
      <w:lvlText w:val="%8."/>
      <w:lvlJc w:val="left"/>
      <w:pPr>
        <w:ind w:left="5760" w:hanging="360"/>
      </w:pPr>
    </w:lvl>
    <w:lvl w:ilvl="8" w:tplc="7A8A7884" w:tentative="1">
      <w:start w:val="1"/>
      <w:numFmt w:val="lowerRoman"/>
      <w:lvlText w:val="%9."/>
      <w:lvlJc w:val="right"/>
      <w:pPr>
        <w:ind w:left="6480" w:hanging="180"/>
      </w:pPr>
    </w:lvl>
  </w:abstractNum>
  <w:abstractNum w:abstractNumId="19" w15:restartNumberingAfterBreak="0">
    <w:nsid w:val="483A20C8"/>
    <w:multiLevelType w:val="hybridMultilevel"/>
    <w:tmpl w:val="0EC2ABF6"/>
    <w:lvl w:ilvl="0" w:tplc="0809000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31DBE"/>
    <w:multiLevelType w:val="hybridMultilevel"/>
    <w:tmpl w:val="5986F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A6F47"/>
    <w:multiLevelType w:val="hybridMultilevel"/>
    <w:tmpl w:val="B2A85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0273BE"/>
    <w:multiLevelType w:val="hybridMultilevel"/>
    <w:tmpl w:val="37DC5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9F6019C"/>
    <w:multiLevelType w:val="hybridMultilevel"/>
    <w:tmpl w:val="763A2CEC"/>
    <w:lvl w:ilvl="0" w:tplc="561CD55E">
      <w:start w:val="2"/>
      <w:numFmt w:val="decimal"/>
      <w:lvlText w:val="%1."/>
      <w:lvlJc w:val="left"/>
      <w:pPr>
        <w:ind w:left="149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0322D"/>
    <w:multiLevelType w:val="hybridMultilevel"/>
    <w:tmpl w:val="E59876CE"/>
    <w:lvl w:ilvl="0" w:tplc="17380002">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FA74A2"/>
    <w:multiLevelType w:val="hybridMultilevel"/>
    <w:tmpl w:val="95BAA506"/>
    <w:lvl w:ilvl="0" w:tplc="705CF18C">
      <w:start w:val="1"/>
      <w:numFmt w:val="lowerLetter"/>
      <w:lvlText w:val="%1."/>
      <w:lvlJc w:val="left"/>
      <w:pPr>
        <w:ind w:left="200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5CD37B3"/>
    <w:multiLevelType w:val="hybridMultilevel"/>
    <w:tmpl w:val="D48233F8"/>
    <w:lvl w:ilvl="0" w:tplc="17380002">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D34E29"/>
    <w:multiLevelType w:val="hybridMultilevel"/>
    <w:tmpl w:val="6BDE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BF2B14"/>
    <w:multiLevelType w:val="hybridMultilevel"/>
    <w:tmpl w:val="D07015D8"/>
    <w:lvl w:ilvl="0" w:tplc="561CD55E">
      <w:start w:val="2"/>
      <w:numFmt w:val="decimal"/>
      <w:lvlText w:val="%1."/>
      <w:lvlJc w:val="left"/>
      <w:pPr>
        <w:ind w:left="14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C3388"/>
    <w:multiLevelType w:val="hybridMultilevel"/>
    <w:tmpl w:val="57BC5836"/>
    <w:lvl w:ilvl="0" w:tplc="D8A03472">
      <w:start w:val="1"/>
      <w:numFmt w:val="lowerLetter"/>
      <w:lvlText w:val="%1."/>
      <w:lvlJc w:val="left"/>
      <w:pPr>
        <w:ind w:left="1800" w:hanging="360"/>
      </w:pPr>
      <w:rPr>
        <w:rFonts w:hint="default"/>
        <w:b w:val="0"/>
        <w:i w:val="0"/>
        <w:color w:val="auto"/>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0C025D"/>
    <w:multiLevelType w:val="hybridMultilevel"/>
    <w:tmpl w:val="520AA7AE"/>
    <w:lvl w:ilvl="0" w:tplc="705CF18C">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015050"/>
    <w:multiLevelType w:val="hybridMultilevel"/>
    <w:tmpl w:val="C29C8EA2"/>
    <w:lvl w:ilvl="0" w:tplc="0809000F">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0"/>
  </w:num>
  <w:num w:numId="4">
    <w:abstractNumId w:val="0"/>
  </w:num>
  <w:num w:numId="5">
    <w:abstractNumId w:val="6"/>
  </w:num>
  <w:num w:numId="6">
    <w:abstractNumId w:val="31"/>
  </w:num>
  <w:num w:numId="7">
    <w:abstractNumId w:val="19"/>
  </w:num>
  <w:num w:numId="8">
    <w:abstractNumId w:val="18"/>
  </w:num>
  <w:num w:numId="9">
    <w:abstractNumId w:val="30"/>
  </w:num>
  <w:num w:numId="10">
    <w:abstractNumId w:val="7"/>
  </w:num>
  <w:num w:numId="11">
    <w:abstractNumId w:val="22"/>
  </w:num>
  <w:num w:numId="12">
    <w:abstractNumId w:val="10"/>
  </w:num>
  <w:num w:numId="13">
    <w:abstractNumId w:val="25"/>
  </w:num>
  <w:num w:numId="14">
    <w:abstractNumId w:val="29"/>
  </w:num>
  <w:num w:numId="15">
    <w:abstractNumId w:val="3"/>
  </w:num>
  <w:num w:numId="16">
    <w:abstractNumId w:val="11"/>
  </w:num>
  <w:num w:numId="17">
    <w:abstractNumId w:val="24"/>
  </w:num>
  <w:num w:numId="18">
    <w:abstractNumId w:val="5"/>
  </w:num>
  <w:num w:numId="19">
    <w:abstractNumId w:val="26"/>
  </w:num>
  <w:num w:numId="20">
    <w:abstractNumId w:val="2"/>
  </w:num>
  <w:num w:numId="21">
    <w:abstractNumId w:val="13"/>
  </w:num>
  <w:num w:numId="22">
    <w:abstractNumId w:val="27"/>
  </w:num>
  <w:num w:numId="23">
    <w:abstractNumId w:val="20"/>
  </w:num>
  <w:num w:numId="24">
    <w:abstractNumId w:val="9"/>
  </w:num>
  <w:num w:numId="25">
    <w:abstractNumId w:val="12"/>
  </w:num>
  <w:num w:numId="26">
    <w:abstractNumId w:val="4"/>
  </w:num>
  <w:num w:numId="27">
    <w:abstractNumId w:val="23"/>
  </w:num>
  <w:num w:numId="28">
    <w:abstractNumId w:val="16"/>
  </w:num>
  <w:num w:numId="29">
    <w:abstractNumId w:val="28"/>
  </w:num>
  <w:num w:numId="30">
    <w:abstractNumId w:val="17"/>
  </w:num>
  <w:num w:numId="31">
    <w:abstractNumId w:val="8"/>
  </w:num>
  <w:num w:numId="32">
    <w:abstractNumId w:val="21"/>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61"/>
    <w:rsid w:val="00006ACE"/>
    <w:rsid w:val="000135DE"/>
    <w:rsid w:val="0001542F"/>
    <w:rsid w:val="00016687"/>
    <w:rsid w:val="00020984"/>
    <w:rsid w:val="00024896"/>
    <w:rsid w:val="0003166A"/>
    <w:rsid w:val="00040FF0"/>
    <w:rsid w:val="0005138F"/>
    <w:rsid w:val="0005278B"/>
    <w:rsid w:val="00060567"/>
    <w:rsid w:val="00064D84"/>
    <w:rsid w:val="00070570"/>
    <w:rsid w:val="0007102F"/>
    <w:rsid w:val="0007260B"/>
    <w:rsid w:val="000949D4"/>
    <w:rsid w:val="000A18B4"/>
    <w:rsid w:val="000B3DDC"/>
    <w:rsid w:val="000C2716"/>
    <w:rsid w:val="000C3AE9"/>
    <w:rsid w:val="000C66A3"/>
    <w:rsid w:val="000E34BF"/>
    <w:rsid w:val="000F0459"/>
    <w:rsid w:val="00100892"/>
    <w:rsid w:val="00103A96"/>
    <w:rsid w:val="001050E1"/>
    <w:rsid w:val="001113DA"/>
    <w:rsid w:val="00111AE9"/>
    <w:rsid w:val="00137A49"/>
    <w:rsid w:val="0014045F"/>
    <w:rsid w:val="001407FC"/>
    <w:rsid w:val="0015380E"/>
    <w:rsid w:val="00163AB7"/>
    <w:rsid w:val="00180574"/>
    <w:rsid w:val="001A1EB4"/>
    <w:rsid w:val="001A32FC"/>
    <w:rsid w:val="001A6DFC"/>
    <w:rsid w:val="001B1CF4"/>
    <w:rsid w:val="001C048A"/>
    <w:rsid w:val="001C2991"/>
    <w:rsid w:val="001C2CFC"/>
    <w:rsid w:val="001C5681"/>
    <w:rsid w:val="001D22EA"/>
    <w:rsid w:val="001D5ADE"/>
    <w:rsid w:val="001D7AF6"/>
    <w:rsid w:val="001E40E4"/>
    <w:rsid w:val="001E7405"/>
    <w:rsid w:val="001F5080"/>
    <w:rsid w:val="001F6D05"/>
    <w:rsid w:val="001F7B64"/>
    <w:rsid w:val="00202966"/>
    <w:rsid w:val="0020457C"/>
    <w:rsid w:val="00205C45"/>
    <w:rsid w:val="002060E6"/>
    <w:rsid w:val="00207F2E"/>
    <w:rsid w:val="00213DD1"/>
    <w:rsid w:val="00221C2F"/>
    <w:rsid w:val="00234152"/>
    <w:rsid w:val="002430AB"/>
    <w:rsid w:val="00244656"/>
    <w:rsid w:val="00251595"/>
    <w:rsid w:val="00260FEE"/>
    <w:rsid w:val="0027464D"/>
    <w:rsid w:val="00274C58"/>
    <w:rsid w:val="0027543A"/>
    <w:rsid w:val="00291EAF"/>
    <w:rsid w:val="002B0F2A"/>
    <w:rsid w:val="002B0F50"/>
    <w:rsid w:val="002C04FC"/>
    <w:rsid w:val="002C763C"/>
    <w:rsid w:val="002D514A"/>
    <w:rsid w:val="002E39BC"/>
    <w:rsid w:val="00300BF1"/>
    <w:rsid w:val="00307217"/>
    <w:rsid w:val="00314100"/>
    <w:rsid w:val="003300F1"/>
    <w:rsid w:val="003311E7"/>
    <w:rsid w:val="003336BF"/>
    <w:rsid w:val="0033539A"/>
    <w:rsid w:val="003564DD"/>
    <w:rsid w:val="00356DFC"/>
    <w:rsid w:val="0038719D"/>
    <w:rsid w:val="003874DE"/>
    <w:rsid w:val="00391A0A"/>
    <w:rsid w:val="00395673"/>
    <w:rsid w:val="003A253F"/>
    <w:rsid w:val="003A5799"/>
    <w:rsid w:val="003A597A"/>
    <w:rsid w:val="003B07BF"/>
    <w:rsid w:val="003B0D3A"/>
    <w:rsid w:val="003B7811"/>
    <w:rsid w:val="003C476D"/>
    <w:rsid w:val="003D1EDC"/>
    <w:rsid w:val="00400795"/>
    <w:rsid w:val="004023F3"/>
    <w:rsid w:val="0041102A"/>
    <w:rsid w:val="00411565"/>
    <w:rsid w:val="00420B47"/>
    <w:rsid w:val="00421F10"/>
    <w:rsid w:val="00424BF7"/>
    <w:rsid w:val="00426E9B"/>
    <w:rsid w:val="00434138"/>
    <w:rsid w:val="0045234A"/>
    <w:rsid w:val="004542EC"/>
    <w:rsid w:val="00495307"/>
    <w:rsid w:val="004B3EF8"/>
    <w:rsid w:val="004B52A2"/>
    <w:rsid w:val="004B707F"/>
    <w:rsid w:val="004C163E"/>
    <w:rsid w:val="004C5A0A"/>
    <w:rsid w:val="004C6D03"/>
    <w:rsid w:val="004D1A55"/>
    <w:rsid w:val="004D5686"/>
    <w:rsid w:val="004D72AC"/>
    <w:rsid w:val="004E43CB"/>
    <w:rsid w:val="004F58C6"/>
    <w:rsid w:val="004F5FCA"/>
    <w:rsid w:val="005044AC"/>
    <w:rsid w:val="00512710"/>
    <w:rsid w:val="00517612"/>
    <w:rsid w:val="00535934"/>
    <w:rsid w:val="005400C3"/>
    <w:rsid w:val="00545C1A"/>
    <w:rsid w:val="00546370"/>
    <w:rsid w:val="005556BD"/>
    <w:rsid w:val="00563901"/>
    <w:rsid w:val="0057612B"/>
    <w:rsid w:val="00581E62"/>
    <w:rsid w:val="005A3090"/>
    <w:rsid w:val="005A6E01"/>
    <w:rsid w:val="005B46DA"/>
    <w:rsid w:val="005B7478"/>
    <w:rsid w:val="005D57FC"/>
    <w:rsid w:val="005D6BD6"/>
    <w:rsid w:val="005E0D27"/>
    <w:rsid w:val="005E7E07"/>
    <w:rsid w:val="005F2A2A"/>
    <w:rsid w:val="005F7CB0"/>
    <w:rsid w:val="006030CD"/>
    <w:rsid w:val="006032E7"/>
    <w:rsid w:val="00623965"/>
    <w:rsid w:val="00635F24"/>
    <w:rsid w:val="00650AD1"/>
    <w:rsid w:val="00651037"/>
    <w:rsid w:val="006546FD"/>
    <w:rsid w:val="00674BC4"/>
    <w:rsid w:val="006A7F74"/>
    <w:rsid w:val="006B4795"/>
    <w:rsid w:val="006C2862"/>
    <w:rsid w:val="006C3285"/>
    <w:rsid w:val="006C3CAE"/>
    <w:rsid w:val="006E461F"/>
    <w:rsid w:val="006E5794"/>
    <w:rsid w:val="006F3996"/>
    <w:rsid w:val="00701E1A"/>
    <w:rsid w:val="00704142"/>
    <w:rsid w:val="007137C5"/>
    <w:rsid w:val="00722623"/>
    <w:rsid w:val="0073732F"/>
    <w:rsid w:val="00740334"/>
    <w:rsid w:val="00742974"/>
    <w:rsid w:val="0075208A"/>
    <w:rsid w:val="00765896"/>
    <w:rsid w:val="00766DFD"/>
    <w:rsid w:val="0078181C"/>
    <w:rsid w:val="00794943"/>
    <w:rsid w:val="00796487"/>
    <w:rsid w:val="0079771E"/>
    <w:rsid w:val="007A3539"/>
    <w:rsid w:val="007A3EEC"/>
    <w:rsid w:val="007A4408"/>
    <w:rsid w:val="007A736B"/>
    <w:rsid w:val="007B4552"/>
    <w:rsid w:val="007B7D4C"/>
    <w:rsid w:val="007C1D72"/>
    <w:rsid w:val="007C459C"/>
    <w:rsid w:val="007D6A10"/>
    <w:rsid w:val="007E5B7B"/>
    <w:rsid w:val="00802219"/>
    <w:rsid w:val="0080532F"/>
    <w:rsid w:val="0080643E"/>
    <w:rsid w:val="0081286F"/>
    <w:rsid w:val="00816273"/>
    <w:rsid w:val="00817ACC"/>
    <w:rsid w:val="0085069C"/>
    <w:rsid w:val="008538CD"/>
    <w:rsid w:val="008978AB"/>
    <w:rsid w:val="008A0893"/>
    <w:rsid w:val="008A32AB"/>
    <w:rsid w:val="008A71FC"/>
    <w:rsid w:val="008B2C45"/>
    <w:rsid w:val="008B3D31"/>
    <w:rsid w:val="008B4C86"/>
    <w:rsid w:val="008C3AC8"/>
    <w:rsid w:val="008C6B40"/>
    <w:rsid w:val="008E5111"/>
    <w:rsid w:val="00915EE6"/>
    <w:rsid w:val="00927F18"/>
    <w:rsid w:val="00930787"/>
    <w:rsid w:val="00932D59"/>
    <w:rsid w:val="0094024C"/>
    <w:rsid w:val="00942933"/>
    <w:rsid w:val="0095685E"/>
    <w:rsid w:val="009579DF"/>
    <w:rsid w:val="009655F5"/>
    <w:rsid w:val="0097253E"/>
    <w:rsid w:val="009844FB"/>
    <w:rsid w:val="00985DD9"/>
    <w:rsid w:val="00991713"/>
    <w:rsid w:val="00993775"/>
    <w:rsid w:val="009A6896"/>
    <w:rsid w:val="009C3A39"/>
    <w:rsid w:val="009E43D2"/>
    <w:rsid w:val="009E4882"/>
    <w:rsid w:val="009F0931"/>
    <w:rsid w:val="00A026D9"/>
    <w:rsid w:val="00A041C5"/>
    <w:rsid w:val="00A150DF"/>
    <w:rsid w:val="00A156B7"/>
    <w:rsid w:val="00A21148"/>
    <w:rsid w:val="00A463CD"/>
    <w:rsid w:val="00A52579"/>
    <w:rsid w:val="00A5575C"/>
    <w:rsid w:val="00A75E20"/>
    <w:rsid w:val="00A81B64"/>
    <w:rsid w:val="00A904EF"/>
    <w:rsid w:val="00A90FA2"/>
    <w:rsid w:val="00A9353C"/>
    <w:rsid w:val="00A97416"/>
    <w:rsid w:val="00AA326E"/>
    <w:rsid w:val="00AA7B26"/>
    <w:rsid w:val="00AB4852"/>
    <w:rsid w:val="00AB5CB6"/>
    <w:rsid w:val="00AB7BAA"/>
    <w:rsid w:val="00AC1134"/>
    <w:rsid w:val="00AC7536"/>
    <w:rsid w:val="00B16666"/>
    <w:rsid w:val="00B3306C"/>
    <w:rsid w:val="00B37DDC"/>
    <w:rsid w:val="00B43369"/>
    <w:rsid w:val="00B44000"/>
    <w:rsid w:val="00B47B29"/>
    <w:rsid w:val="00B507B3"/>
    <w:rsid w:val="00B9456E"/>
    <w:rsid w:val="00B96776"/>
    <w:rsid w:val="00BB1295"/>
    <w:rsid w:val="00BC23AE"/>
    <w:rsid w:val="00BC5F4E"/>
    <w:rsid w:val="00BC653A"/>
    <w:rsid w:val="00BC7E24"/>
    <w:rsid w:val="00BD4321"/>
    <w:rsid w:val="00BD478F"/>
    <w:rsid w:val="00BD5E0E"/>
    <w:rsid w:val="00BD69F6"/>
    <w:rsid w:val="00BE0DC1"/>
    <w:rsid w:val="00BF11C4"/>
    <w:rsid w:val="00BF253D"/>
    <w:rsid w:val="00BF50FB"/>
    <w:rsid w:val="00BF540F"/>
    <w:rsid w:val="00C11C90"/>
    <w:rsid w:val="00C26863"/>
    <w:rsid w:val="00C513AB"/>
    <w:rsid w:val="00C5148E"/>
    <w:rsid w:val="00C5528C"/>
    <w:rsid w:val="00C654FE"/>
    <w:rsid w:val="00C66486"/>
    <w:rsid w:val="00C76A53"/>
    <w:rsid w:val="00C80A74"/>
    <w:rsid w:val="00CA077E"/>
    <w:rsid w:val="00CA23A6"/>
    <w:rsid w:val="00CA2B66"/>
    <w:rsid w:val="00CA7A22"/>
    <w:rsid w:val="00CB3939"/>
    <w:rsid w:val="00CB3E52"/>
    <w:rsid w:val="00CB3EA6"/>
    <w:rsid w:val="00CC5E16"/>
    <w:rsid w:val="00CD083F"/>
    <w:rsid w:val="00CD2C78"/>
    <w:rsid w:val="00CD3BE4"/>
    <w:rsid w:val="00CD534A"/>
    <w:rsid w:val="00CD6A11"/>
    <w:rsid w:val="00CE0985"/>
    <w:rsid w:val="00CE6AD0"/>
    <w:rsid w:val="00CF19D5"/>
    <w:rsid w:val="00CF25BB"/>
    <w:rsid w:val="00CF51BE"/>
    <w:rsid w:val="00D02098"/>
    <w:rsid w:val="00D03BB6"/>
    <w:rsid w:val="00D0727A"/>
    <w:rsid w:val="00D07A26"/>
    <w:rsid w:val="00D07B00"/>
    <w:rsid w:val="00D2298E"/>
    <w:rsid w:val="00D23CCD"/>
    <w:rsid w:val="00D314AC"/>
    <w:rsid w:val="00D44229"/>
    <w:rsid w:val="00D4455D"/>
    <w:rsid w:val="00D67804"/>
    <w:rsid w:val="00D67DE8"/>
    <w:rsid w:val="00D86AC1"/>
    <w:rsid w:val="00D96D1E"/>
    <w:rsid w:val="00DA24F0"/>
    <w:rsid w:val="00DA5ECE"/>
    <w:rsid w:val="00DB2AE0"/>
    <w:rsid w:val="00DC148D"/>
    <w:rsid w:val="00DD04DA"/>
    <w:rsid w:val="00DF1C5E"/>
    <w:rsid w:val="00DF6F06"/>
    <w:rsid w:val="00E0678C"/>
    <w:rsid w:val="00E073E3"/>
    <w:rsid w:val="00E124EE"/>
    <w:rsid w:val="00E17F41"/>
    <w:rsid w:val="00E24E67"/>
    <w:rsid w:val="00E25016"/>
    <w:rsid w:val="00E36774"/>
    <w:rsid w:val="00E50C94"/>
    <w:rsid w:val="00E738B6"/>
    <w:rsid w:val="00E75377"/>
    <w:rsid w:val="00E77642"/>
    <w:rsid w:val="00E82C16"/>
    <w:rsid w:val="00E9178B"/>
    <w:rsid w:val="00E91999"/>
    <w:rsid w:val="00EA0162"/>
    <w:rsid w:val="00EA3AC4"/>
    <w:rsid w:val="00EB3C2A"/>
    <w:rsid w:val="00EB6BEA"/>
    <w:rsid w:val="00EC2B53"/>
    <w:rsid w:val="00EE2E05"/>
    <w:rsid w:val="00EE3574"/>
    <w:rsid w:val="00EE7DC4"/>
    <w:rsid w:val="00EF2DCA"/>
    <w:rsid w:val="00F005E9"/>
    <w:rsid w:val="00F04E61"/>
    <w:rsid w:val="00F05AA5"/>
    <w:rsid w:val="00F134CD"/>
    <w:rsid w:val="00F14367"/>
    <w:rsid w:val="00F32A35"/>
    <w:rsid w:val="00F36551"/>
    <w:rsid w:val="00F42CE4"/>
    <w:rsid w:val="00F431A1"/>
    <w:rsid w:val="00F6227C"/>
    <w:rsid w:val="00F66DA1"/>
    <w:rsid w:val="00F84852"/>
    <w:rsid w:val="00F91623"/>
    <w:rsid w:val="00F957D1"/>
    <w:rsid w:val="00F9739B"/>
    <w:rsid w:val="00FA0D51"/>
    <w:rsid w:val="00FA2BEB"/>
    <w:rsid w:val="00FB1666"/>
    <w:rsid w:val="00FB5287"/>
    <w:rsid w:val="00FB7554"/>
    <w:rsid w:val="00FC348C"/>
    <w:rsid w:val="00FC3D64"/>
    <w:rsid w:val="00FC41F7"/>
    <w:rsid w:val="00FC6936"/>
    <w:rsid w:val="00FD2AAD"/>
    <w:rsid w:val="00FE381A"/>
    <w:rsid w:val="00FE3DCE"/>
    <w:rsid w:val="00FF5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76F7E38"/>
  <w15:docId w15:val="{ABECA7A5-1E81-4D61-80E4-75BD466F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991"/>
    <w:pPr>
      <w:tabs>
        <w:tab w:val="left" w:pos="567"/>
      </w:tabs>
      <w:spacing w:after="120"/>
      <w:jc w:val="both"/>
    </w:pPr>
    <w:rPr>
      <w:rFonts w:ascii="Calibri" w:hAnsi="Calibri"/>
      <w:sz w:val="22"/>
      <w:szCs w:val="22"/>
      <w:lang w:eastAsia="en-US"/>
    </w:rPr>
  </w:style>
  <w:style w:type="paragraph" w:styleId="Ttulo1">
    <w:name w:val="heading 1"/>
    <w:basedOn w:val="Puesto"/>
    <w:next w:val="Textoindependiente"/>
    <w:link w:val="Ttulo1Car"/>
    <w:qFormat/>
    <w:rsid w:val="008B4C86"/>
    <w:pPr>
      <w:spacing w:before="240" w:after="120"/>
    </w:pPr>
    <w:rPr>
      <w:bCs w:val="0"/>
      <w:sz w:val="28"/>
      <w:szCs w:val="28"/>
    </w:rPr>
  </w:style>
  <w:style w:type="paragraph" w:styleId="Ttulo2">
    <w:name w:val="heading 2"/>
    <w:basedOn w:val="Normal"/>
    <w:next w:val="Textoindependiente"/>
    <w:link w:val="Ttulo2Car"/>
    <w:qFormat/>
    <w:rsid w:val="008B4C86"/>
    <w:pPr>
      <w:spacing w:before="120"/>
      <w:outlineLvl w:val="1"/>
    </w:pPr>
    <w:rPr>
      <w:b/>
    </w:rPr>
  </w:style>
  <w:style w:type="paragraph" w:styleId="Ttulo3">
    <w:name w:val="heading 3"/>
    <w:next w:val="Textoindependiente"/>
    <w:link w:val="Ttulo3Car"/>
    <w:qFormat/>
    <w:rsid w:val="00546370"/>
    <w:pPr>
      <w:keepNext/>
      <w:spacing w:before="140" w:after="140" w:line="280" w:lineRule="atLeast"/>
      <w:outlineLvl w:val="2"/>
    </w:pPr>
    <w:rPr>
      <w:rFonts w:ascii="Arial" w:hAnsi="Arial"/>
      <w:b/>
      <w:noProof/>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42CE4"/>
    <w:pPr>
      <w:tabs>
        <w:tab w:val="left" w:pos="357"/>
        <w:tab w:val="center" w:pos="4320"/>
        <w:tab w:val="right" w:pos="8640"/>
      </w:tabs>
    </w:pPr>
    <w:rPr>
      <w:sz w:val="18"/>
    </w:rPr>
  </w:style>
  <w:style w:type="paragraph" w:styleId="Piedepgina">
    <w:name w:val="footer"/>
    <w:aliases w:val="Footer1"/>
    <w:basedOn w:val="Normal"/>
    <w:link w:val="PiedepginaCar"/>
    <w:rsid w:val="00F42CE4"/>
    <w:rPr>
      <w:sz w:val="18"/>
    </w:rPr>
  </w:style>
  <w:style w:type="character" w:styleId="Nmerodepgina">
    <w:name w:val="page number"/>
    <w:rsid w:val="00BC7E24"/>
    <w:rPr>
      <w:rFonts w:ascii="Arial" w:hAnsi="Arial"/>
      <w:sz w:val="18"/>
    </w:rPr>
  </w:style>
  <w:style w:type="paragraph" w:styleId="TDC2">
    <w:name w:val="toc 2"/>
    <w:next w:val="Normal"/>
    <w:autoRedefine/>
    <w:semiHidden/>
    <w:rsid w:val="00F36551"/>
    <w:pPr>
      <w:tabs>
        <w:tab w:val="left" w:pos="1134"/>
        <w:tab w:val="left" w:pos="2268"/>
        <w:tab w:val="left" w:pos="2552"/>
        <w:tab w:val="left" w:pos="3119"/>
        <w:tab w:val="right" w:leader="dot" w:pos="8448"/>
      </w:tabs>
      <w:spacing w:before="60" w:after="60"/>
      <w:ind w:left="3119" w:right="1134" w:hanging="1418"/>
    </w:pPr>
    <w:rPr>
      <w:rFonts w:ascii="Arial" w:hAnsi="Arial"/>
      <w:noProof/>
    </w:rPr>
  </w:style>
  <w:style w:type="paragraph" w:styleId="TDC3">
    <w:name w:val="toc 3"/>
    <w:basedOn w:val="Textoindependiente"/>
    <w:next w:val="Normal"/>
    <w:autoRedefine/>
    <w:semiHidden/>
    <w:rsid w:val="00F36551"/>
    <w:pPr>
      <w:tabs>
        <w:tab w:val="left" w:pos="851"/>
        <w:tab w:val="left" w:pos="1134"/>
        <w:tab w:val="left" w:pos="2268"/>
        <w:tab w:val="right" w:leader="dot" w:pos="8448"/>
      </w:tabs>
      <w:spacing w:after="0"/>
      <w:ind w:left="2268" w:right="1134"/>
    </w:pPr>
    <w:rPr>
      <w:noProof/>
    </w:rPr>
  </w:style>
  <w:style w:type="paragraph" w:styleId="Textoindependiente">
    <w:name w:val="Body Text"/>
    <w:basedOn w:val="Normal"/>
    <w:rsid w:val="00546370"/>
  </w:style>
  <w:style w:type="paragraph" w:styleId="TDC4">
    <w:name w:val="toc 4"/>
    <w:basedOn w:val="Normal"/>
    <w:next w:val="Normal"/>
    <w:autoRedefine/>
    <w:semiHidden/>
    <w:rsid w:val="00F36551"/>
    <w:pPr>
      <w:tabs>
        <w:tab w:val="right" w:leader="dot" w:pos="8448"/>
        <w:tab w:val="right" w:pos="8505"/>
      </w:tabs>
      <w:ind w:left="2835" w:right="1134"/>
    </w:pPr>
  </w:style>
  <w:style w:type="paragraph" w:customStyle="1" w:styleId="Address">
    <w:name w:val="Address"/>
    <w:rsid w:val="00F36551"/>
    <w:pPr>
      <w:spacing w:line="180" w:lineRule="atLeast"/>
    </w:pPr>
    <w:rPr>
      <w:rFonts w:ascii="Arial" w:hAnsi="Arial"/>
      <w:noProof/>
      <w:color w:val="16288E"/>
      <w:sz w:val="16"/>
      <w:lang w:val="en-US" w:eastAsia="en-US"/>
    </w:rPr>
  </w:style>
  <w:style w:type="paragraph" w:styleId="Textonotaalfinal">
    <w:name w:val="endnote text"/>
    <w:basedOn w:val="Normal"/>
    <w:semiHidden/>
    <w:rsid w:val="00F36551"/>
    <w:pPr>
      <w:tabs>
        <w:tab w:val="left" w:pos="357"/>
      </w:tabs>
    </w:pPr>
  </w:style>
  <w:style w:type="paragraph" w:styleId="Direccinsobre">
    <w:name w:val="envelope address"/>
    <w:basedOn w:val="Normal"/>
    <w:rsid w:val="00F36551"/>
    <w:pPr>
      <w:framePr w:w="7920" w:h="1980" w:hRule="exact" w:hSpace="180" w:wrap="auto" w:hAnchor="page" w:xAlign="center" w:yAlign="bottom"/>
      <w:tabs>
        <w:tab w:val="left" w:pos="357"/>
      </w:tabs>
      <w:ind w:left="2880"/>
    </w:pPr>
  </w:style>
  <w:style w:type="character" w:styleId="Hipervnculovisitado">
    <w:name w:val="FollowedHyperlink"/>
    <w:rsid w:val="00F36551"/>
    <w:rPr>
      <w:color w:val="808080"/>
      <w:u w:val="none"/>
    </w:rPr>
  </w:style>
  <w:style w:type="paragraph" w:styleId="Textonotapie">
    <w:name w:val="footnote text"/>
    <w:link w:val="TextonotapieCar"/>
    <w:semiHidden/>
    <w:rsid w:val="00F36551"/>
    <w:pPr>
      <w:spacing w:after="100" w:line="200" w:lineRule="atLeast"/>
    </w:pPr>
    <w:rPr>
      <w:rFonts w:ascii="Arial" w:hAnsi="Arial"/>
      <w:noProof/>
      <w:sz w:val="16"/>
      <w:lang w:val="en-US" w:eastAsia="en-US"/>
    </w:rPr>
  </w:style>
  <w:style w:type="character" w:styleId="Hipervnculo">
    <w:name w:val="Hyperlink"/>
    <w:rsid w:val="00546370"/>
    <w:rPr>
      <w:rFonts w:ascii="Arial" w:hAnsi="Arial"/>
      <w:color w:val="16288E"/>
      <w:u w:val="none"/>
    </w:rPr>
  </w:style>
  <w:style w:type="paragraph" w:customStyle="1" w:styleId="Introduction">
    <w:name w:val="Introduction"/>
    <w:basedOn w:val="Textoindependiente"/>
    <w:next w:val="Textoindependiente"/>
    <w:rsid w:val="00546370"/>
    <w:pPr>
      <w:spacing w:before="140"/>
    </w:pPr>
    <w:rPr>
      <w:b/>
    </w:rPr>
  </w:style>
  <w:style w:type="paragraph" w:styleId="Listaconvietas">
    <w:name w:val="List Bullet"/>
    <w:basedOn w:val="Normal"/>
    <w:rsid w:val="00546370"/>
    <w:pPr>
      <w:numPr>
        <w:numId w:val="2"/>
      </w:numPr>
    </w:pPr>
  </w:style>
  <w:style w:type="paragraph" w:styleId="Listaconnmeros">
    <w:name w:val="List Number"/>
    <w:basedOn w:val="Normal"/>
    <w:rsid w:val="00546370"/>
    <w:pPr>
      <w:numPr>
        <w:numId w:val="4"/>
      </w:numPr>
    </w:pPr>
  </w:style>
  <w:style w:type="paragraph" w:styleId="Puesto">
    <w:name w:val="Title"/>
    <w:link w:val="PuestoCar"/>
    <w:qFormat/>
    <w:rsid w:val="00FC3D64"/>
    <w:pPr>
      <w:spacing w:before="360" w:after="280"/>
      <w:outlineLvl w:val="0"/>
    </w:pPr>
    <w:rPr>
      <w:rFonts w:ascii="Calibri" w:hAnsi="Calibri" w:cs="Aller"/>
      <w:bCs/>
      <w:noProof/>
      <w:kern w:val="28"/>
      <w:sz w:val="40"/>
      <w:szCs w:val="40"/>
      <w:lang w:val="en-US" w:eastAsia="en-US"/>
    </w:rPr>
  </w:style>
  <w:style w:type="character" w:customStyle="1" w:styleId="Ttulo1Car">
    <w:name w:val="Título 1 Car"/>
    <w:link w:val="Ttulo1"/>
    <w:rsid w:val="008B4C86"/>
    <w:rPr>
      <w:rFonts w:ascii="Calibri" w:hAnsi="Calibri" w:cs="Aller"/>
      <w:noProof/>
      <w:kern w:val="28"/>
      <w:sz w:val="28"/>
      <w:szCs w:val="28"/>
      <w:lang w:val="en-US" w:eastAsia="en-US"/>
    </w:rPr>
  </w:style>
  <w:style w:type="character" w:customStyle="1" w:styleId="Ttulo2Car">
    <w:name w:val="Título 2 Car"/>
    <w:link w:val="Ttulo2"/>
    <w:rsid w:val="008B4C86"/>
    <w:rPr>
      <w:rFonts w:ascii="Calibri" w:hAnsi="Calibri"/>
      <w:b/>
      <w:sz w:val="22"/>
      <w:szCs w:val="22"/>
      <w:lang w:eastAsia="en-US"/>
    </w:rPr>
  </w:style>
  <w:style w:type="character" w:customStyle="1" w:styleId="Ttulo3Car">
    <w:name w:val="Título 3 Car"/>
    <w:link w:val="Ttulo3"/>
    <w:rsid w:val="00EE7DC4"/>
    <w:rPr>
      <w:rFonts w:ascii="Arial" w:hAnsi="Arial"/>
      <w:b/>
      <w:noProof/>
      <w:lang w:val="en-US" w:eastAsia="en-US" w:bidi="ar-SA"/>
    </w:rPr>
  </w:style>
  <w:style w:type="character" w:customStyle="1" w:styleId="PuestoCar">
    <w:name w:val="Puesto Car"/>
    <w:link w:val="Puesto"/>
    <w:rsid w:val="00FC3D64"/>
    <w:rPr>
      <w:rFonts w:ascii="Calibri" w:hAnsi="Calibri" w:cs="Aller"/>
      <w:bCs/>
      <w:noProof/>
      <w:kern w:val="28"/>
      <w:sz w:val="40"/>
      <w:szCs w:val="40"/>
      <w:lang w:val="en-US" w:eastAsia="en-US"/>
    </w:rPr>
  </w:style>
  <w:style w:type="paragraph" w:customStyle="1" w:styleId="ZchnZchn1CharCharCarCar">
    <w:name w:val="Zchn Zchn1 Char Char Car Car"/>
    <w:basedOn w:val="Normal"/>
    <w:rsid w:val="00D02098"/>
    <w:pPr>
      <w:spacing w:after="160" w:line="240" w:lineRule="exact"/>
      <w:jc w:val="left"/>
    </w:pPr>
    <w:rPr>
      <w:rFonts w:ascii="Tahoma" w:hAnsi="Tahoma"/>
      <w:lang w:val="en-US"/>
    </w:rPr>
  </w:style>
  <w:style w:type="paragraph" w:customStyle="1" w:styleId="Docheader">
    <w:name w:val="Doc header"/>
    <w:basedOn w:val="Normal"/>
    <w:rsid w:val="00D02098"/>
    <w:pPr>
      <w:spacing w:after="0" w:line="280" w:lineRule="exact"/>
      <w:jc w:val="left"/>
    </w:pPr>
    <w:rPr>
      <w:sz w:val="24"/>
      <w:lang w:val="en-US"/>
    </w:rPr>
  </w:style>
  <w:style w:type="character" w:styleId="Refdenotaalpie">
    <w:name w:val="footnote reference"/>
    <w:semiHidden/>
    <w:rsid w:val="00D02098"/>
    <w:rPr>
      <w:vertAlign w:val="superscript"/>
    </w:rPr>
  </w:style>
  <w:style w:type="paragraph" w:styleId="Prrafodelista">
    <w:name w:val="List Paragraph"/>
    <w:basedOn w:val="Normal"/>
    <w:link w:val="PrrafodelistaCar"/>
    <w:uiPriority w:val="34"/>
    <w:qFormat/>
    <w:rsid w:val="005556BD"/>
    <w:pPr>
      <w:tabs>
        <w:tab w:val="clear" w:pos="567"/>
      </w:tabs>
      <w:spacing w:after="200" w:line="276" w:lineRule="auto"/>
      <w:ind w:left="720"/>
      <w:contextualSpacing/>
      <w:jc w:val="left"/>
    </w:pPr>
    <w:rPr>
      <w:rFonts w:eastAsia="Calibri"/>
    </w:rPr>
  </w:style>
  <w:style w:type="paragraph" w:styleId="NormalWeb">
    <w:name w:val="Normal (Web)"/>
    <w:basedOn w:val="Normal"/>
    <w:uiPriority w:val="99"/>
    <w:unhideWhenUsed/>
    <w:rsid w:val="004542EC"/>
    <w:pPr>
      <w:tabs>
        <w:tab w:val="clear" w:pos="567"/>
      </w:tabs>
      <w:spacing w:before="100" w:beforeAutospacing="1" w:after="100" w:afterAutospacing="1"/>
      <w:jc w:val="left"/>
    </w:pPr>
    <w:rPr>
      <w:rFonts w:ascii="Times New Roman" w:eastAsia="Calibri" w:hAnsi="Times New Roman"/>
      <w:sz w:val="24"/>
      <w:szCs w:val="24"/>
      <w:lang w:eastAsia="en-GB"/>
    </w:rPr>
  </w:style>
  <w:style w:type="paragraph" w:customStyle="1" w:styleId="Default">
    <w:name w:val="Default"/>
    <w:rsid w:val="00E0678C"/>
    <w:pPr>
      <w:autoSpaceDE w:val="0"/>
      <w:autoSpaceDN w:val="0"/>
      <w:adjustRightInd w:val="0"/>
    </w:pPr>
    <w:rPr>
      <w:rFonts w:ascii="Aller" w:hAnsi="Aller" w:cs="Aller"/>
      <w:color w:val="000000"/>
      <w:sz w:val="24"/>
      <w:szCs w:val="24"/>
    </w:rPr>
  </w:style>
  <w:style w:type="paragraph" w:styleId="Lista3">
    <w:name w:val="List 3"/>
    <w:basedOn w:val="Normal"/>
    <w:rsid w:val="001B1CF4"/>
    <w:pPr>
      <w:ind w:left="849" w:hanging="283"/>
      <w:contextualSpacing/>
    </w:pPr>
  </w:style>
  <w:style w:type="character" w:customStyle="1" w:styleId="PiedepginaCar">
    <w:name w:val="Pie de página Car"/>
    <w:aliases w:val="Footer1 Car"/>
    <w:link w:val="Piedepgina"/>
    <w:uiPriority w:val="99"/>
    <w:locked/>
    <w:rsid w:val="001B1CF4"/>
    <w:rPr>
      <w:rFonts w:ascii="Calibri" w:hAnsi="Calibri"/>
      <w:sz w:val="18"/>
      <w:szCs w:val="22"/>
      <w:lang w:eastAsia="en-US"/>
    </w:rPr>
  </w:style>
  <w:style w:type="paragraph" w:styleId="Textodeglobo">
    <w:name w:val="Balloon Text"/>
    <w:basedOn w:val="Normal"/>
    <w:link w:val="TextodegloboCar"/>
    <w:rsid w:val="00742974"/>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rsid w:val="00742974"/>
    <w:rPr>
      <w:rFonts w:ascii="Lucida Grande" w:hAnsi="Lucida Grande" w:cs="Lucida Grande"/>
      <w:sz w:val="18"/>
      <w:szCs w:val="18"/>
      <w:lang w:eastAsia="en-US"/>
    </w:rPr>
  </w:style>
  <w:style w:type="character" w:styleId="Refdecomentario">
    <w:name w:val="annotation reference"/>
    <w:basedOn w:val="Fuentedeprrafopredeter"/>
    <w:rsid w:val="00AC7536"/>
    <w:rPr>
      <w:sz w:val="18"/>
      <w:szCs w:val="18"/>
    </w:rPr>
  </w:style>
  <w:style w:type="paragraph" w:styleId="Textocomentario">
    <w:name w:val="annotation text"/>
    <w:basedOn w:val="Normal"/>
    <w:link w:val="TextocomentarioCar"/>
    <w:rsid w:val="00AC7536"/>
    <w:rPr>
      <w:sz w:val="24"/>
      <w:szCs w:val="24"/>
    </w:rPr>
  </w:style>
  <w:style w:type="character" w:customStyle="1" w:styleId="TextocomentarioCar">
    <w:name w:val="Texto comentario Car"/>
    <w:basedOn w:val="Fuentedeprrafopredeter"/>
    <w:link w:val="Textocomentario"/>
    <w:rsid w:val="00AC7536"/>
    <w:rPr>
      <w:rFonts w:ascii="Calibri" w:hAnsi="Calibri"/>
      <w:sz w:val="24"/>
      <w:szCs w:val="24"/>
      <w:lang w:eastAsia="en-US"/>
    </w:rPr>
  </w:style>
  <w:style w:type="paragraph" w:styleId="Asuntodelcomentario">
    <w:name w:val="annotation subject"/>
    <w:basedOn w:val="Textocomentario"/>
    <w:next w:val="Textocomentario"/>
    <w:link w:val="AsuntodelcomentarioCar"/>
    <w:rsid w:val="00AC7536"/>
    <w:rPr>
      <w:b/>
      <w:bCs/>
      <w:sz w:val="20"/>
      <w:szCs w:val="20"/>
    </w:rPr>
  </w:style>
  <w:style w:type="character" w:customStyle="1" w:styleId="AsuntodelcomentarioCar">
    <w:name w:val="Asunto del comentario Car"/>
    <w:basedOn w:val="TextocomentarioCar"/>
    <w:link w:val="Asuntodelcomentario"/>
    <w:rsid w:val="00AC7536"/>
    <w:rPr>
      <w:rFonts w:ascii="Calibri" w:hAnsi="Calibri"/>
      <w:b/>
      <w:bCs/>
      <w:sz w:val="24"/>
      <w:szCs w:val="24"/>
      <w:lang w:eastAsia="en-US"/>
    </w:rPr>
  </w:style>
  <w:style w:type="paragraph" w:styleId="Mapadeldocumento">
    <w:name w:val="Document Map"/>
    <w:basedOn w:val="Normal"/>
    <w:link w:val="MapadeldocumentoCar"/>
    <w:rsid w:val="008B4C86"/>
    <w:pPr>
      <w:spacing w:after="0"/>
    </w:pPr>
    <w:rPr>
      <w:rFonts w:ascii="Lucida Grande" w:hAnsi="Lucida Grande" w:cs="Lucida Grande"/>
      <w:sz w:val="24"/>
      <w:szCs w:val="24"/>
    </w:rPr>
  </w:style>
  <w:style w:type="character" w:customStyle="1" w:styleId="MapadeldocumentoCar">
    <w:name w:val="Mapa del documento Car"/>
    <w:basedOn w:val="Fuentedeprrafopredeter"/>
    <w:link w:val="Mapadeldocumento"/>
    <w:rsid w:val="008B4C86"/>
    <w:rPr>
      <w:rFonts w:ascii="Lucida Grande" w:hAnsi="Lucida Grande" w:cs="Lucida Grande"/>
      <w:sz w:val="24"/>
      <w:szCs w:val="24"/>
      <w:lang w:eastAsia="en-US"/>
    </w:rPr>
  </w:style>
  <w:style w:type="paragraph" w:styleId="Sangradetextonormal">
    <w:name w:val="Body Text Indent"/>
    <w:basedOn w:val="Normal"/>
    <w:link w:val="SangradetextonormalCar"/>
    <w:rsid w:val="006F3996"/>
    <w:pPr>
      <w:ind w:left="283"/>
    </w:pPr>
  </w:style>
  <w:style w:type="character" w:customStyle="1" w:styleId="SangradetextonormalCar">
    <w:name w:val="Sangría de texto normal Car"/>
    <w:basedOn w:val="Fuentedeprrafopredeter"/>
    <w:link w:val="Sangradetextonormal"/>
    <w:rsid w:val="006F3996"/>
    <w:rPr>
      <w:rFonts w:ascii="Calibri" w:hAnsi="Calibri"/>
      <w:sz w:val="22"/>
      <w:szCs w:val="22"/>
      <w:lang w:eastAsia="en-US"/>
    </w:rPr>
  </w:style>
  <w:style w:type="paragraph" w:customStyle="1" w:styleId="table">
    <w:name w:val="table"/>
    <w:link w:val="tableChar"/>
    <w:rsid w:val="00D4455D"/>
    <w:pPr>
      <w:spacing w:before="30" w:after="30"/>
    </w:pPr>
    <w:rPr>
      <w:rFonts w:ascii="Palatino Linotype" w:hAnsi="Palatino Linotype"/>
      <w:noProof/>
      <w:sz w:val="17"/>
      <w:lang w:eastAsia="en-US"/>
    </w:rPr>
  </w:style>
  <w:style w:type="paragraph" w:customStyle="1" w:styleId="TableCaption">
    <w:name w:val="Table Caption"/>
    <w:basedOn w:val="Normal"/>
    <w:next w:val="Normal"/>
    <w:uiPriority w:val="99"/>
    <w:rsid w:val="00D4455D"/>
    <w:pPr>
      <w:keepNext/>
      <w:keepLines/>
      <w:tabs>
        <w:tab w:val="clear" w:pos="567"/>
      </w:tabs>
      <w:spacing w:before="240" w:after="240"/>
    </w:pPr>
    <w:rPr>
      <w:rFonts w:ascii="Palatino Linotype" w:hAnsi="Palatino Linotype"/>
      <w:b/>
      <w:sz w:val="17"/>
      <w:szCs w:val="18"/>
    </w:rPr>
  </w:style>
  <w:style w:type="table" w:styleId="Tablaconcuadrcula">
    <w:name w:val="Table Grid"/>
    <w:basedOn w:val="Tablanormal"/>
    <w:uiPriority w:val="59"/>
    <w:rsid w:val="00D4455D"/>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Autospacing="0" w:afterLines="0" w:afterAutospacing="0" w:line="240" w:lineRule="auto"/>
        <w:ind w:leftChars="0" w:left="0" w:rightChars="0" w:right="0" w:firstLineChars="0" w:firstLine="0"/>
        <w:jc w:val="left"/>
        <w:outlineLvl w:val="9"/>
      </w:pPr>
      <w:rPr>
        <w:rFonts w:ascii="Mistral" w:hAnsi="Mistral"/>
        <w:b/>
        <w:i w:val="0"/>
        <w:caps w:val="0"/>
        <w:smallCaps/>
        <w:strike w:val="0"/>
        <w:dstrike w:val="0"/>
        <w:vanish w:val="0"/>
        <w:color w:val="auto"/>
        <w:spacing w:val="10"/>
        <w:w w:val="100"/>
        <w:kern w:val="15"/>
        <w:position w:val="0"/>
        <w:sz w:val="15"/>
        <w:u w:val="none"/>
        <w:vertAlign w:val="base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Autospacing="0" w:afterLines="30" w:afterAutospacing="0" w:line="240" w:lineRule="auto"/>
        <w:ind w:leftChars="0" w:left="0" w:rightChars="0" w:right="0"/>
        <w:jc w:val="left"/>
        <w:outlineLvl w:val="9"/>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left"/>
        <w:outlineLvl w:val="9"/>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left"/>
        <w:outlineLvl w:val="9"/>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left"/>
        <w:outlineLvl w:val="9"/>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Autospacing="0" w:afterLines="0" w:afterAutospacing="0" w:line="240" w:lineRule="auto"/>
        <w:ind w:leftChars="0" w:left="0" w:rightChars="0" w:right="0" w:firstLineChars="0" w:firstLine="0"/>
        <w:jc w:val="left"/>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left"/>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left"/>
        <w:outlineLvl w:val="9"/>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Top">
    <w:name w:val="Table Top"/>
    <w:basedOn w:val="table"/>
    <w:rsid w:val="00D4455D"/>
    <w:pPr>
      <w:keepNext/>
      <w:widowControl w:val="0"/>
    </w:pPr>
    <w:rPr>
      <w:rFonts w:ascii="Futura Md BT" w:hAnsi="Futura Md BT"/>
      <w:b/>
      <w:bCs/>
      <w:spacing w:val="6"/>
      <w:kern w:val="15"/>
      <w:sz w:val="15"/>
      <w:szCs w:val="15"/>
    </w:rPr>
  </w:style>
  <w:style w:type="character" w:customStyle="1" w:styleId="tableChar">
    <w:name w:val="table Char"/>
    <w:link w:val="table"/>
    <w:locked/>
    <w:rsid w:val="00D4455D"/>
    <w:rPr>
      <w:rFonts w:ascii="Palatino Linotype" w:hAnsi="Palatino Linotype"/>
      <w:noProof/>
      <w:sz w:val="17"/>
      <w:lang w:eastAsia="en-US"/>
    </w:rPr>
  </w:style>
  <w:style w:type="paragraph" w:customStyle="1" w:styleId="Heading11">
    <w:name w:val="Heading 11"/>
    <w:next w:val="Normal"/>
    <w:rsid w:val="00CB3939"/>
    <w:pPr>
      <w:keepNext/>
      <w:tabs>
        <w:tab w:val="left" w:pos="567"/>
        <w:tab w:val="left" w:pos="1134"/>
        <w:tab w:val="left" w:pos="1701"/>
        <w:tab w:val="left" w:pos="2268"/>
        <w:tab w:val="left" w:pos="2832"/>
        <w:tab w:val="left" w:pos="3540"/>
        <w:tab w:val="left" w:pos="4248"/>
        <w:tab w:val="left" w:pos="4956"/>
        <w:tab w:val="left" w:pos="5664"/>
        <w:tab w:val="left" w:pos="6372"/>
        <w:tab w:val="left" w:pos="7080"/>
        <w:tab w:val="left" w:pos="7788"/>
        <w:tab w:val="left" w:pos="8496"/>
      </w:tabs>
      <w:suppressAutoHyphens/>
      <w:spacing w:before="240" w:after="120"/>
      <w:jc w:val="both"/>
    </w:pPr>
    <w:rPr>
      <w:rFonts w:ascii="Arial" w:eastAsia="ヒラギノ角ゴ Pro W3" w:hAnsi="Arial" w:cs="Arial"/>
      <w:b/>
      <w:kern w:val="1"/>
      <w:sz w:val="22"/>
      <w:szCs w:val="22"/>
      <w:lang w:eastAsia="ar-SA"/>
    </w:rPr>
  </w:style>
  <w:style w:type="character" w:customStyle="1" w:styleId="TextonotapieCar">
    <w:name w:val="Texto nota pie Car"/>
    <w:basedOn w:val="Fuentedeprrafopredeter"/>
    <w:link w:val="Textonotapie"/>
    <w:semiHidden/>
    <w:rsid w:val="00CB3939"/>
    <w:rPr>
      <w:rFonts w:ascii="Arial" w:hAnsi="Arial"/>
      <w:noProof/>
      <w:sz w:val="16"/>
      <w:lang w:val="en-US" w:eastAsia="en-US"/>
    </w:rPr>
  </w:style>
  <w:style w:type="character" w:customStyle="1" w:styleId="PrrafodelistaCar">
    <w:name w:val="Párrafo de lista Car"/>
    <w:basedOn w:val="Fuentedeprrafopredeter"/>
    <w:link w:val="Prrafodelista"/>
    <w:uiPriority w:val="34"/>
    <w:locked/>
    <w:rsid w:val="00C80A74"/>
    <w:rPr>
      <w:rFonts w:ascii="Calibri" w:eastAsia="Calibri" w:hAnsi="Calibri"/>
      <w:sz w:val="22"/>
      <w:szCs w:val="22"/>
      <w:lang w:eastAsia="en-US"/>
    </w:rPr>
  </w:style>
  <w:style w:type="character" w:customStyle="1" w:styleId="st">
    <w:name w:val="st"/>
    <w:basedOn w:val="Fuentedeprrafopredeter"/>
    <w:rsid w:val="00C80A74"/>
  </w:style>
  <w:style w:type="paragraph" w:styleId="Textosinformato">
    <w:name w:val="Plain Text"/>
    <w:basedOn w:val="Normal"/>
    <w:link w:val="TextosinformatoCar"/>
    <w:uiPriority w:val="99"/>
    <w:unhideWhenUsed/>
    <w:rsid w:val="00C80A74"/>
    <w:pPr>
      <w:tabs>
        <w:tab w:val="clear" w:pos="567"/>
      </w:tabs>
      <w:spacing w:after="0"/>
      <w:jc w:val="left"/>
    </w:pPr>
    <w:rPr>
      <w:rFonts w:eastAsiaTheme="minorHAnsi" w:cstheme="minorBidi"/>
      <w:szCs w:val="21"/>
    </w:rPr>
  </w:style>
  <w:style w:type="character" w:customStyle="1" w:styleId="TextosinformatoCar">
    <w:name w:val="Texto sin formato Car"/>
    <w:basedOn w:val="Fuentedeprrafopredeter"/>
    <w:link w:val="Textosinformato"/>
    <w:uiPriority w:val="99"/>
    <w:rsid w:val="00C80A7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696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ublications.jrc.ec.europa.eu/repository/bitstream/JRC83985/lb-na-26113-en-n.pdf" TargetMode="External"/><Relationship Id="rId13" Type="http://schemas.openxmlformats.org/officeDocument/2006/relationships/hyperlink" Target="https://datras.ices.dk/Data_products/Download/files/Trawl_Litter_OSPAR_V6_20170310.Zip" TargetMode="External"/><Relationship Id="rId18" Type="http://schemas.openxmlformats.org/officeDocument/2006/relationships/hyperlink" Target="https://r-forge.r-project.org/projects/emo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atras.ices.dk/Data_products/Submission_Status.aspx" TargetMode="External"/><Relationship Id="rId17" Type="http://schemas.openxmlformats.org/officeDocument/2006/relationships/hyperlink" Target="http://publications.jrc.ec.europa.eu/repository/bitstream/JRC67300/msfd_ges_tsg_marine_litter_report_eur_25009_en_online_version.pdf" TargetMode="External"/><Relationship Id="rId2" Type="http://schemas.openxmlformats.org/officeDocument/2006/relationships/styles" Target="styles.xml"/><Relationship Id="rId16" Type="http://schemas.openxmlformats.org/officeDocument/2006/relationships/hyperlink" Target="https://datras.ices.dk/Data_products/Download/Download_Data_public.aspx"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ras.ices.dk/Data_products/Download/Download_Data_public.aspx" TargetMode="External"/><Relationship Id="rId5" Type="http://schemas.openxmlformats.org/officeDocument/2006/relationships/footnotes" Target="footnotes.xml"/><Relationship Id="rId15" Type="http://schemas.openxmlformats.org/officeDocument/2006/relationships/hyperlink" Target="http://publications.jrc.ec.europa.eu/repository/bitstream/JRC67300/msfd_ges_tsg_marine_litter_report_eur_25009_en_online_version.pdf"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atras.ices.dk/Data_products/Download/Download_Data_public.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3962</Words>
  <Characters>21792</Characters>
  <Application>Microsoft Office Word</Application>
  <DocSecurity>0</DocSecurity>
  <Lines>181</Lines>
  <Paragraphs>51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OSPAR_MEETING_DOCUMENT</vt:lpstr>
      <vt:lpstr>OSPAR_MEETING_DOCUMENT</vt:lpstr>
      <vt:lpstr>OSPAR_MEETING_DOCUMENT</vt:lpstr>
    </vt:vector>
  </TitlesOfParts>
  <Company>.</Company>
  <LinksUpToDate>false</LinksUpToDate>
  <CharactersWithSpaces>25703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OSPAR_MEETING_DOCUMENT</dc:title>
  <dc:creator>Kati Rowson</dc:creator>
  <cp:lastModifiedBy>Raquel Diez</cp:lastModifiedBy>
  <cp:revision>2</cp:revision>
  <cp:lastPrinted>2017-03-16T10:32:00Z</cp:lastPrinted>
  <dcterms:created xsi:type="dcterms:W3CDTF">2020-12-02T09:54:00Z</dcterms:created>
  <dcterms:modified xsi:type="dcterms:W3CDTF">2020-12-02T09:54:00Z</dcterms:modified>
</cp:coreProperties>
</file>